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AÇÃO CIVIL PÚBLICA</w:t>
      </w:r>
    </w:p>
    <w:p>
      <w:r>
        <w:rPr>
          <w:i/>
          <w:iCs/>
          <w:color w:val="666666"/>
        </w:rPr>
        <w:t xml:space="preserve">ASSOCIAÇÃO DE DEFESA DO CONSUMIDOR</w:t>
      </w:r>
    </w:p>
    <w:p/>
    <w:p>
      <w:r>
        <w:rPr>
          <w:b/>
          <w:bCs/>
        </w:rPr>
        <w:t xml:space="preserve">Recurso: </w:t>
      </w:r>
      <w:r>
        <w:t xml:space="preserve">Agravo Regimental 12.608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INDEFERIMENTO DE SUSTENTAÇÃO ORAL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 - Tal remédio processual, criado com objetivo de promover-se a integração da vontade do Tribunal, embora agora previsto na legislação processual (art. 557, parágrafo único; art. 545), não ganhou a natureza de recurso ordinário, que comporte sustentação oral, não sendo prevista sequer sua inclusão em pauta para julgamento. - No julgamento do Agravo Regimental nº 12.608 - SP, Relator o ilustre Ministro Cláudio Santos, o mesmo posicionamento foi acatado por esta Turma, quanto a possibilidade de sustentação oral no julgamento dessa espécie de recurso, tendo o aresto recebido a seguinte ementa: "AGRAVO INOMINADO (LEI Nº 8.038/90, ART. 28, § 5º) - PAUTA. DISSÍDIO. DEMONSTRAÇÃO ANALÍTICA. Independe de pauta o julgamento do agravo inominado de que trata o § 5º, do art. 28, da Lei nº 8.038/90, denominado "agravo regimental", porque não comporta sustentação oral nem a lei determina aquela providência." - O dissídio, por sua vez, não restou configurado, por falta de demonstração analítica da divergência, com a apresentação dos trechos que identifiquem a identidade de bases fáticas entre as hipóteses em confronto, além de não cumpridas as demais formalidades regimentais. - Forte em tais lineamentos, não conheço do recurso. Ac. de 19-11-1998 DJ de 01-02-1999, pág. 184 (Reg. nº 1997/0046072-0) Arquivo do EMFOR, STJ/N 5689 EMENTÁRIO FORENSE. Outubro, 2003. Ano LV. Nº 659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O agravo "regimental", "interno" ou "inominado", criado com objetivo de promover-se a integração da vontade do Tribunal, embora agora previsto na legislação processual (art. 557, parágrafo único; art. 545) não ganhou a natureza de recurso ordinário, que comporte sustentação oral, não sendo prevista sequer sua inclusão em pauta para julgamento.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2026-07-28T00:02:10.077Z</dcterms:created>
  <dcterms:modified xsi:type="dcterms:W3CDTF">2026-07-28T00:02:10.077Z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