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PROGRAMA BOLSA FAMÍLIA</w:t>
      </w:r>
    </w:p>
    <w:p>
      <w:r>
        <w:rPr>
          <w:i/>
          <w:iCs/>
          <w:color w:val="666666"/>
        </w:rPr>
        <w:t xml:space="preserve">DECRETO 5.749 DE 12-04-2006</w:t>
      </w:r>
    </w:p>
    <w:p/>
    <w:p/>
    <w:p>
      <w:r>
        <w:t xml:space="preserve">01. LEGISLAÇÃO TRIBUTÁRIA FEDERAL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135, DE 30 DE OUTUBRO 2003 Altera a Legislação Tributária Federal e dá outras providências. O PRESIDENTE DA REPÚBLICA, no uso da atribuição que lhe confere o art. 62 da Constituição, adota a seguinte Medida Provisória, com força de lei. CAPÍTULO I DA COBRANÇA NÃO-CUMULATIVA DA COFINS Art. 1º A Contribuição para o Financiamento da Seguridade Social - COFINS, com a incidência não-cumulativa, tem como fato gerador o faturamento mensal, assim entendido o total das receitas auferidas pela pessoa jurídica, independentemente de sua denominação ou classificação contábil. § 1º Para efeito do disposto neste artigo, o total das receitas compreende a receita bruta da venda de bens e serviços nas operações em conta própria ou alheia e todas as demais receitas auferidas pela pessoa jurídica. § 2º A base de cálculo da contribuição é o valor do faturamento, conforme definido no caput. § 3º Não integram a base de cálculo a que se refere este artigo, as receitas: I - isentas ou não alcançadas pela incidência da contribuição ou sujeitas à alíquota zero; II - não-operacionais, decorrentes da venda de ativo imobilizado; III - auferidas pela pessoa jurídica revendedora, na revenda de mercadorias em relação às quais a contribuição seja exigida da empresa vendedora, na condição de substituta tributária; IV - de venda dos produtos de que tratam as Leis nºs 9.990, de 21 de julho de 2000, 10.147, de 21 de dezembro de 2000, 10.485, de 3 de julho de 2002, e 10.560, de 13 de novembro de 2002, ou quaisquer outras submetidas à incidência monofásica da contribuição; V - referentes a: a) vendas canceladas e aos descontos incondicionais concedidos; b) reversões de provisões e recuperações de créditos baixados como perda, que não representem ingresso de novas receitas, o resultado positivo da avaliação de investimentos pelo valor do patrimônio líquido e os lucros e dividendos derivados de investimentos avaliados pelo custo de aquisição, que tenham sido computados como receita. Art. 2º Para determinação do valor da COFINS aplicar-se-á, sobre a base de cálculo apurada conforme o disposto no art. 1º, a alíquota de 7,6%. Art. 3º Do valor apurado na forma do art. 2º a pessoa jurídica poderá descontar créditos calculados em relação a: I - bens adquiridos para revenda, exceto em relação às mercadorias e aos produtos referidos nos incisos III e IV do § 3º do art. 1º; II - bens e serviços, utilizados como insumo na prestação de serviços e na produção ou fabricação de bens ou produtos destinados à venda, inclusive combustíveis e lubrificantes; III - energia elétrica consumida nos estabelecimentos da pessoa jurídica; IV - aluguéis de prédios, máquinas e equipamentos, pagos a pessoa jurídica, utilizados nas atividades da empresa; V - despesas financeiras decorrentes de empréstimos, financiamentos e o valor das contraprestações de operações de arrendamento mercantil de pessoa jurídica, exceto de optante pelo Sistema Integrado de Pagamento de Impostos e Contribuições das Microempresas e das Empresas de Pequeno Porte - SIMPLES; VI - máquinas, equipamentos e outros bens incorporados ao ativo imobilizado adquiridos para utilização na produção de bens destinados à venda, ou na prestação de serviços; VII - edificações e benfeitorias em imóveis próprios ou de terceiros, utilizados nas atividades da empresa; VIII - bens recebidos em devolução, cuja receita de venda tenha integrado faturamento do mês ou de mês anterior, e tributada conforme o disposto nesta Medida Provisória. § 1º O crédito será determinado mediante a aplicação da alíquota prevista no art. 2º sobre o valor: I - dos itens mencionados nos incisos I e II do caput, adquiridos no mês ; II - dos itens mencionados nos incisos III a V do caput, incorridos no mês; III - dos encargos de depreciação e amortização dos bens mencionados nos incisos VI e VII do caput, incorridos no mês; IV - dos bens mencionados no inciso VIII do caput, devolvidos no mês. § 2º Não dará direito a crédito o valor de mão-de-obra paga a pessoa física. § 3º O direito ao crédito aplica-se, exclusivamente, em relação: I - aos bens e serviços adquiridos de pessoa jurídica domiciliada no País; II - aos custos e despesas incorridos, pagos ou creditados a pessoa jurídica domiciliada no País; III - aos bens e serviços adquiridos e aos custos e despesas incorridos a partir do mês em que se iniciar a aplicação do disposto nesta Medida Provisória. § 4º O crédito não aproveitado em determinado mês poderá sê-lo nos meses subseqüentes.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2026-09-10T23:35:05.019Z</dcterms:created>
  <dcterms:modified xsi:type="dcterms:W3CDTF">2026-09-10T23:35:05.019Z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