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re .</w:t>
      </w:r>
    </w:p>
    <w:p/>
    <w:p>
      <w:r>
        <w:t xml:space="preserve">03. LEGISLAÇÃO TRIBUTÁRIA FEDERAL — ALTERA</w:t>
      </w:r>
    </w:p>
    <w:p/>
    <w:p>
      <w:pPr>
        <w:pStyle w:val="Heading2"/>
      </w:pPr>
      <w:r>
        <w:rPr>
          <w:b/>
          <w:bCs/>
        </w:rPr>
        <w:t xml:space="preserve">Ementa</w:t>
      </w:r>
    </w:p>
    <w:p>
      <w:r>
        <w:t xml:space="preserve">CAPÍTULO III DAS DISPOSIÇÕES RELATIVAS À LEGISLAÇÃO ADUANEIRA Art. 43. O beneficiário de regime aduaneiro suspensivo, destinado à industrialização para exportação, responde solidariamente pelas obrigações tributárias decorrentes da admissão de mercadoria no regime por outro beneficiário, mediante sua anuência, com vistas à execução de etapa da cadeia industrial do produto a ser exportado. § 1º Na hipótese do caput, a aquisição de mercadoria nacional por qualquer dos beneficiários do regime, para ser incorporada ao produto a ser exportado, será realizada com suspensão dos tributos incidentes. § 2º Compete à Secretaria da Receita Federal disciplinar a aplicação dos regimes aduaneiros suspensivos de que trata o caput e estabelecer os requisitos, as condições e a forma de registro da anuência prevista para a admissão de mercadoria, nacional ou importada, no regime. Art. 44. Extinguem os regimes de admissão temporária, de admissão temporária para aperfeiçoamento ativo, de exportação temporária e de exportação temporária para aperfeiçoamento passivo, aplicados a produto, parte, peça ou componente recebido do exterior ou a ele enviado para substituição em decorrência de garantia ou, ainda, para reparo, revisão, manutenção, renovação ou recondicionamento, respectivamente, a exportação ou a importação de produto equivalente àquele submetido ao regime. § 1º O disposto neste artigo aplica-se, exclusivamente, aos seguintes bens: I - partes, peças e componentes de aeronave, objeto das isenções previstas na alínea "j" do inciso II do art. 2º e no inciso I do art. 3º da Lei nº 8.032, de 12 de abril de 1990; II - produtos nacionais exportados definitivamente, ou suas partes e peças, que retornem ao País, mediante admissão temporária, ou admissão temporária para aperfeiçoamento ativo, para reparo ou substituição em virtude de defeito técnico que exija sua devolução; e III - produtos nacionais, ou suas partes e peças, remetidos ao exterior mediante exportação temporária, para substituição de outro anteriormente exportado definitivamente, que deva retornar ao País para reparo ou substituição, em virtude de defeito técnico que exija sua devolução. § 2º A Secretaria da Receita Federal disciplinará os procedimentos para a aplicação do disposto neste artigo e os requisitos para reconhecimento da equivalência entre os produtos importados e exportados. Art. 45. Nas operações de exportação sem saída do produto do território nacional, com pagamento a prazo, os efeitos fiscais e cambiais, quando reconhecidos pela legislação vigente, serão produzidos no momento da contratação, sob condição resolutória, aperfeiçoando-se pelo recebimento integral em moeda de livre conversibilidade. Parágrafo único. O disposto neste artigo aplica-se também ao produto exportado sem saída do território nacional, na forma disciplinada pela Secretaria da Receita Federal, para ser: I - totalmente incorporado a bem que se encontre no País, de propriedade do comprador estrangeiro, inclusive em regime de admissão temporária sob a responsabilidade de terceiro; II - entregue a órgão da administração direta, autárquica ou fundacional da União, dos Estados, do Distrito Federal ou dos Municípios, em cumprimento de contrato decorrente de licitação internacional; III - entregue, em consignação, a empresa nacional autorizada a operar o regime de loja franca; IV - entregue, no País, a subsidiária ou coligada, para distribuição sob a forma de brinde a fornecedores e clientes; V - entregue a terceiro, no País, em substituição de produto anteriormente exportado e que tenha se mostrado, após o despacho aduaneiro de importação, defeituoso ou imprestável para o fim a que se destinava; ou VI - entregue, no País, a missão diplomática, repartição consular de caráter permanente ou organismo internacional de que o Brasil seja membro, ou a seu integrante, estrangeiro. Art. 46. O regime de entreposto aduaneiro de que tratam os arts. 9º e 10 do Decreto-Lei nº 1.455, de 7 de abril de 1976, com a redação dada pelo art. 69 da Medida Provisória nº 2.158-35, de 2001, poderá ser operado em instalações portuárias de uso privativo misto previstas na alínea "b" do inciso II do § 2º do art. 4º da Lei nº 8.630, de 25 de fevereiro de 1993, bem assim nos estaleiros navais e nas plataformas em construção destinadas à pesquisa e lavra de jazidas de petróleo e gás natural, mediante autorização da Secretaria da Receita Federal, observados os requisitos e condições estabelecidos na legislação específica. Art. 47.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2026-06-17T14:08:59.323Z</dcterms:created>
  <dcterms:modified xsi:type="dcterms:W3CDTF">2026-06-17T14:08:59.324Z</dcterms:modified>
</cp:coreProperties>
</file>

<file path=docProps/custom.xml><?xml version="1.0" encoding="utf-8"?>
<Properties xmlns="http://schemas.openxmlformats.org/officeDocument/2006/custom-properties" xmlns:vt="http://schemas.openxmlformats.org/officeDocument/2006/docPropsVTypes"/>
</file>