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HONORÁRIOS DE ADVOGADO</w:t>
      </w:r>
    </w:p>
    <w:p>
      <w:r>
        <w:rPr>
          <w:i/>
          <w:iCs/>
          <w:color w:val="666666"/>
        </w:rPr>
        <w:t xml:space="preserve">AÇÃO RESULTANTE DE DOLO OU CULPA</w:t>
      </w:r>
    </w:p>
    <w:p/>
    <w:p>
      <w:r>
        <w:rPr>
          <w:b/>
          <w:bCs/>
        </w:rPr>
        <w:t xml:space="preserve">Recurso: </w:t>
      </w:r>
      <w:r>
        <w:t xml:space="preserve">Rec. Especial 7.556</w:t>
      </w:r>
    </w:p>
    <w:p>
      <w:r>
        <w:rPr>
          <w:b/>
          <w:bCs/>
        </w:rPr>
        <w:t xml:space="preserve">Tribunal: </w:t>
      </w:r>
      <w:r>
        <w:t xml:space="preserve">STJ</w:t>
      </w:r>
    </w:p>
    <w:p>
      <w:r>
        <w:rPr>
          <w:b/>
          <w:bCs/>
        </w:rPr>
        <w:t xml:space="preserve">Relator: </w:t>
      </w:r>
      <w:r>
        <w:t xml:space="preserve">EDUARDO RIBEIRO</w:t>
      </w:r>
    </w:p>
    <w:p/>
    <w:p>
      <w:r>
        <w:t xml:space="preserve">FALTA DE CITAÇÃO VÁLIDA NA AÇÃO DE USUCAPIÃO — NULIDADE ABSOLUTA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A citação pessoal daquele em cujo nome esteja transcrito o imóvel usucapiendo e dos confinantes é regra obrigatória decorrente do que prescreve o artigo 942, inciso II, do Código de Processo Civil, importando a sua falta em nulidade absoluta do processo conforme doutrina e jurisprudência dominante de nossos Tribunais. - O Supremo Tribunal Federal já proclamou que: "é ineficaz a sentença contra quem tendo título registrado, não foi citado para a ação de usucapião, poderá, em conseqüência, mover ação de reivindicação, não sendo necessário que proponha ação rescisória daquela sentença". (Revista Trimestral de Jurisprudência, v. 104, pág. 826). - O Colendo Tribunal de Justiça do Estado de São Paulo, a respeito decidiu: "A inobservância do disposto no artigo 942, inciso II, do Código de Processo Civil - exigência da citação pessoal no usucapião daquele em cujo nome esteja transcrito o imóvel usucapiendo - acarreta nulidade processual insanável". (Revista dos Tribunais, v. 660, pág. 85). - Salienta o autorizado CÂNDIDO DINAMARCO: "Uma sentença dada sem regular citação do réu é portadora de nulidade absoluta, insuscetível de ser sanada pelo trânsito em julgado", prosseguindo mais adiante, "a existência dessa sentença, assim viciada porque proferida contra revel mal-citado (ou não citado), mas como feitio de ato imperativo de exercício de poder e aparência externa de regularidade, é que provavelmente tem levado os Tribunais a aceitar qualquer das vias processuais conhecidas como meio de obter a sua invalidação". (In Litisconsórcio, 2ª edição, Editora Revista dos Tribunais, págs. 232/239 e 234/235). - Como mencionei ao rejeitar a segunda preliminar, este é o entendimento predominante neste Egrégio Tribunal de Justiça de que a nulidade absoluta pode ser con hecida em qualquer grau de jurisdição, inclusive em sede de ação rescisória, a impor a procedência da súplica inicial, pois o processo onde foi proferida a decisão rescindenda é radicalmente nulo, por padecer o ato citatório de vício insanável. Ac. de 04-11-1992 Jurisprudência Mineira - Abril a Junho de 1993 - Vol. 122 - Pág. 38 NO MESMO SENTIDO: Rec. Especial nº 7.556 - RO, STJ - 3ª T., Relator: Ministro EDUARDO RIBEIRO, ac. de 13-8-1991 - Rev. STJ 125, pág. 39. Ementa: "Nula a citação, não se constitui a relação processual e a sentença não transita em julgado, podendo, a qualquer tempo, ser declarada nula, em ação com esse objetivo, ou embargos à execução, se o caso (CPC, art. 741, I). EMFOR 544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A nulidade absoluta pode ser conhecida em qualquer grau de jurisdição, inclusive em sede de ação rescisória.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Revista Trimestral de Jurisprudência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2026-09-11T06:18:14.035Z</dcterms:created>
  <dcterms:modified xsi:type="dcterms:W3CDTF">2026-09-11T06:18:14.035Z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