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Cível 15.836/2002</w:t>
      </w:r>
    </w:p>
    <w:p>
      <w:r>
        <w:rPr>
          <w:b/>
          <w:bCs/>
        </w:rPr>
        <w:t xml:space="preserve">Relator: </w:t>
      </w:r>
      <w:r>
        <w:t xml:space="preserve">VOTO Cuida</w:t>
      </w:r>
    </w:p>
    <w:p/>
    <w:p>
      <w:r>
        <w:t xml:space="preserve">EMBARGOS À EXECUÇÃO — LOCAÇÃO - FIADOR - DEVEDOR SOLIDÁRIO - RENÚNCIA AOS BENEFÍCIOS DE ORDEM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renúncia do fiador aos benefícios de ordem previstos no artigo 1.491 do Código Civil torna-o coobrigado solidário, respondendo isoladamente pela dívida. A multa moratória estabelecida no contrato de locação não é limitada ao percentual de 2% (dois por cento), previsto no artigo 52 do Código de Defesa do Consumidor, com a redação dada pela Lei nº 9.298/96. Improvimento do recurso. Vistos, relatados e discutidos estes autos da Apelação Cível nº 15.836/2002, em que figuram como Apelante Celino Corrêa Pinto e sua mulher Maria da Silva Pinto e como Apelado Athaydes Rodrigues Antunes. Acordam os Desembargadores que compõem a Décima Sétima Câmara Cível, por unanimidade de votos, em negar provimento ao recurso, nos termos do voto do Desembargador Relator. VOTO Cuida-se de Embargos à Execução relativamente a alugueres provenientes de locação em que os apelantes eram fiadores. A leitura dos autos deixa claro que os apelantes foram fiadores em locação onde o apelado era locador, obrigando-se como devedores solidários e principais pagadores, com renúncia expressa aos benefícios de ordem previstos no artigo 1.491 do Código Civil. Daí, a inconsistência da resistência oferecida pelos embargantes, requerendo a denunciação da lide e o chamamento à autoria do locador. Em relação à exoneração da fiança, evidentemente, que nenhuma eficácia contém perante o locador a notificação feita pelos apelantes, porquanto sua exoneração só poderia ocorrer nas hipóteses previstas no artigo 1.503 do Código Civil. No que tange ao alegado excesso de execução, especificamente à multa de 10% (dez por cento) aplicada, por contrariar o limite previsto no artigo 52 do Código de Defesa do Consumidor, com a redação dada pela Lei nº 9.298/96, há entendimento jurisprudencial neste Tribunal, refletido no Enunciado nº 13, aprovado no I Encontro dos Desembargadores do Tribunal de Justiça do Estado do Rio de Janeiro, no sentido de não se aplicar a restrição ao s contratos de locação. Face ao exposto, conheço do recurso, mas lhe nego provimento, mantendo-se a sentença de f. 19/21. Rio de Janeiro, 04 de setembro de 2002. Des. FABRÍCIO PAULO BAGUEIRA BANDEIRA FILHO - Presidente Des. JOSÉ GERALDO ANTÔNIO - Relator Arquivo do EMFOR, TJRJ/RD56.198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2026-07-27T23:16:21.228Z</dcterms:created>
  <dcterms:modified xsi:type="dcterms:W3CDTF">2026-07-27T23:16:21.228Z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