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Recurso: </w:t>
      </w:r>
      <w:r>
        <w:t xml:space="preserve">Recurso Especial 263.447/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COBRANÇA — INTERVENÇÃO DO MINISTÉRIO PÚBLICO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ressalto que, nesta instância, o Ministério Público não foi intimado para se manifestar, pois no caso concreto não há interesse público evidenciado pela natureza da lide ou qualidade da parte, sendo inaplicável o art. 82, III, do Código de Processo Civil. - Atualmente, não mais se confunde o interesse público com o interesse patrimonial do Estado. Foi com este fundamento que o Superior Tribunal de Justiça editou sua Súmula, acrescentando o enunciado 189, dispondo que é desnecessária a intervenção do Ministério Público nas execuções fiscais. Nas ações de cobrança ajuizada por servidor público contra município, ocorre o mesmo: o interesse existente é meramente patrimonial, e não público. - Este entendimento acompanha a moderna tendência de restringir a participação do Ministério Público no processo civil como fiscal da lei, liberando-o para atuar com maior eficiência na sua alta missão constitucional, no processo penal e no processo civil como autor. - A jurisprudência do Superior Tribunal de Justiça já se firmou neste sentido, como se vê no Recurso Especial 263.447/PE (DJU 16-04-2001, p. 119), da Sexta Turma, relator o Ministro Fernando Gonçalves, assim ementado, no que interessa: "PROCESSUAL CIVIL. MINISTÉRIO PÚBLICO. INTERVENÇÃO. DESNECESSIDADE. AÇÃO DE COBRANÇA. SERVIDOR PÚBLICO MUNICIPAL. 1 - A simples participação na causa de entidade de direito público interno não determina a intervenção do Ministério Público, pois, do contrário, estar-se-ia confundindo Fazenda Pública com interesse público (ut RTJ 133/345 e STF ¿ RP 25/324), aliás, inexistente, na espécie, onde versa a causa ação de cobrança de funcionário público (diferenças salariais) contra municipalidade. Precedentes desta Corte." - No mesmo sentido, dentre tantos outros julgados, é o Recurso Especial 265.018/PE (DJU 27-11-2000, p. 182), da Quinta Turma do Superior Tribunal de Justiça, relator o Ministro Felix Fischer. Ac. de 27-06-2002 DJMG de 27-08-2002 Jurisprudência Mineira. Out. a Dez., 2002. Vol. 162. Pág. 536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cobrança ajuizadas por servidor público contra o município, o interesse existente é meramente patrimonial, e não público. Assim, desnecessária é a intervenção do Ministério Público, sendo inaplicável o art. 82, III,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2026-10-26T02:14:39.181Z</dcterms:created>
  <dcterms:modified xsi:type="dcterms:W3CDTF">2026-10-26T02:14:39.181Z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