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ADMINISTRATIVO</w:t>
      </w:r>
    </w:p>
    <w:p>
      <w:r>
        <w:rPr>
          <w:i/>
          <w:iCs/>
          <w:color w:val="666666"/>
        </w:rPr>
        <w:t xml:space="preserve">INDENIZAÇÃO POR ATO ILÍCITO</w:t>
      </w:r>
    </w:p>
    <w:p/>
    <w:p/>
    <w:p>
      <w:r>
        <w:t xml:space="preserve">PEDIDO DE RECONHECIMENTO — SE PODE SER FEITO ATRAVÉS DE SIMPLES PETIÇÃO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.................................................. - Lado outro, o pedido de reconhecimento de prescrição não necessita ser formulado em sede de embargos, admitindo seja feito por simples petição nos autos da própria execução. - ................................................. Ac. de 26-08-2002 DJMG de 29-11-2002 Jurisprudência Mineira. Out. a Dez., 2002. Vol. 162. Pág. 550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execução fiscal, o pedido de reconhecimento de prescrição não necessita ser formulado em sede de embargos, admitindo seja feito por simples petição nos autos da própria execução.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2026-10-26T03:22:48.217Z</dcterms:created>
  <dcterms:modified xsi:type="dcterms:W3CDTF">2026-10-26T03:22:48.217Z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