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72.280</w:t>
      </w:r>
    </w:p>
    <w:p>
      <w:r>
        <w:rPr>
          <w:b/>
          <w:bCs/>
        </w:rPr>
        <w:t xml:space="preserve">Julgado em: </w:t>
      </w:r>
      <w:r>
        <w:t xml:space="preserve">23/09/1976</w:t>
      </w:r>
    </w:p>
    <w:p/>
    <w:p>
      <w:r>
        <w:t xml:space="preserve">REGISTRO — VALIDADE DE EXIGÊNCIA FEITA POR DECRETO REGULAMENTADOR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Conforme assinalou o eminente Ministro OSWALDO TRIGUEIRO, em voto que proferiu no RE 72.280 - SP (R.T.J., 59/58): "A exigência de novo registro para cada endosso - feita pelo regulamento e não pela lei - tem por objetivo, obviamente, autenticar as transferências de crédito, das quais a fiscalização fazendária quer estar informada. A partir da vigência desse regime legal, está claro que cada endosso deve ser levado a novo registro." - É óbvio que, se assim não se entendesse, frustrados estariam os fins do Decreto-lei regulamentador. Seria suficiente transferir-se o título, por endosso, para afastá-lo dos efeitos alvitrados por aquele diploma legal. - Outrossim, não há dúvida de que a decisão recorrida, ao concluir que o endosso posterior ao protesto acarreta efeitos cambiários, negou vigência ao art. 20 do Anexo I, que acompanha a "CONVENÇÃO DE GENEBRA", promulgada pelo Decreto nº 57.663, de 24-01-1966, nestes termos: "O endosso posterior ao vencimento tem os mesmos efeitos que o endosso anterior. Todavia, o endosso póstumo ao protesto por falta de pagamento, ou feito depois de expirado o prazo fixado para se fazer o protesto, produz apenas os efeitos de uma cessão ordinária de crédito." VOTO - Conforme o relatório, arguiu-se, pela letra a, ofensa ao art. 4º do Decreto nº 64.156, de 04-03-1969, que regulamentou artigos do Decreto-lei nº 427, de 22-01-1969. Eis o seu texto: "Ocorrendo endosso na nota promissória ou letra de câmbio, desde que o favorecido não seja o estabelecimento de crédito, será exigido novo registro do título, com remissão ao registro anterior." - Sobre ser válida esta exigência, assim já se manifestou o Supremo Tribunal Federal, nos RE 76.346 e 82.042, com estas emendas: "Ação executiva cambial. Cobrança de notas promissórias regularmente registradas e de uma nota promissória sem registro do endosso. Carência total da ação decretada. Negativa de vigência do direito federal. Procedência da ação em parte, excluída a cobrança da promissória sem endosso registrado. Recurso parcialmente conhecido e provido" (RE nº 76.346 - R.T.J. - 66/930, relator: Ministro RODRIGUES ALCKMIN). "Nota promissória. Endosso. Seu registro, nos termos do art. 4º do Decreto nº 64.156/1969, é indispensável, sob pena de nulidade. E o fato de, apenas ser explicitado dito endosso no decreto regulamentador do Decreto-lei nº 427/1969 não lhe afeta a valia, porque se conteve, no particular, à autorização legislativa, art. 2º, § 4º, V." (RE nº 82 042, Ementários nº 1.027-8, relator Ministro THOMPSON FLORES, com voto vencido do Ministro XAVIER DE ALBUQUERQUE). - Desta forma, atendendo à divergência jurisprudencial, conheço do recurso, dando-lhe provimento para julgar parcialmente procedentes os embargos, visto que o título não legitima ação de execução, ressalvada, consequentemente, a cobrança pelas vias ordinárias, e faço a inversão dos ônus da sucumbência. Julgado em 24-09-1976 VENCIDO O MINISTRO CUNHA PEIXOTO Revista Trimestral de Jurisprudência. Janeiro, 1978 - Pág. 194 - Vol. 83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a exigência do registro do endosso da cambial, feita pelo decreto regulamentador da lei, perde a característica da cambial e, em consequência, desprovida do caráter de título executivo, a nota promissória cujo endosso não foi levado a registro.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2026-10-26T03:52:37.688Z</dcterms:created>
  <dcterms:modified xsi:type="dcterms:W3CDTF">2026-10-26T03:52:37.688Z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