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193</w:t>
      </w:r>
    </w:p>
    <w:p/>
    <w:p>
      <w:r>
        <w:t xml:space="preserve">SUA POSIÇÃO EM FACE DA CONCORDATA DO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já foi objeto de apreciação para esta 3ª Turma, ao julgar o REsp 193, de que foi Relator o eminente Ministro NILSON NAVES e que se encontra publicado na Revista "Lex - Jurisprudência do Superior Tribunal de Justiça", nº 4, pág. 122, com a seguinte ementa: "Aval. Concordata do avalizado. Pode o credor reclamar do avalista em execução, o pagamento a correção monetária. Em face da garantia do aval, não cabe ao avalista invocar defesa própria do avalizado, com a falência ou concordata. Inaplicabilidade do art. 213 da Lei de Falência, exceção pertencente ao avalizado. Recurso Especial conhecido pelo dissídio, porém improvido". - Considero que outro não poderia ser o entendimento, em vista da autonomia da obrigação do avalista. Ac. de 28-06-1990 Revista do Superior Tribunal de Justiça - Out. de 1990 - Nº 14 - Pág. 411.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concordata do avalizado em nada afeta a obrigação do avalista para com o possuidor do título. O fato de um obrigar-se da mesma maneira que o outro não significa que a obrigação seja a mesma e sim que da mesma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2026-07-28T00:04:45.886Z</dcterms:created>
  <dcterms:modified xsi:type="dcterms:W3CDTF">2026-07-28T00:04:45.886Z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