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Apelação Cível 1.444/2002</w:t>
      </w:r>
    </w:p>
    <w:p/>
    <w:p>
      <w:r>
        <w:t xml:space="preserve">DESAPROPRIAÇÃO INDIRETA — ESBULHO - PERDA DA POSSE - ÁREA DE INTERESSE SOCIAL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indenização pelo rito ordinário. Após a data da publicação do ato que deu vigência ao decreto municipal ocorreram conseqüências desastrosas à propriedade expropriada indiretamente, dentre estas, a perda da posse. As sucessivas edições de decretos confirmam o interesse público em tornar definitiva a regularização e titulação dos ocupantes dos lotes. Sendo permitido ao Poder Público restringir o direito de propriedade, em contrapartida deve a municipalidade proceder a justa indenização ao munícipe esbulhado em sua posse por terceiros. Sentença que se reforma, para que se reconheça o confisco indireto da área sub judice e, em conseqüência, determinar que o município indenize a proprietária do bem no valor pedido na inicial. Vistos, relatados e discutidos estes autos de Apelação Cível nº 1.444/2002, em que é Apelante Josephina Duarte de Almeida e Apelado Município de Nova Iguaçu. Acordam os Desembargadores da Décima Oitava Câmara Cível do Estado do Rio de Janeiro, à unanimidade de votos, em dar parcial provimento ao recurso. Cuida-se o presente recurso de apelação interposta pela autora, inconformada com a decisão de f. 129/130, que veio a julgar improcedente o pedido de indenização no valor de R$ 169.000,00 (cento e sessenta e nove mil reais), em razão de desapropriação indireta realizada pelo município apelado, a qual veio a gerar conseqüências desastrosas à propriedade da recorrente, dentre estas, a perda da posse da área em questão, a supressão do valor do imóvel em sua destinação normal, etc... A douta sentença apelada está a merecer parcial reforma, senão vejamos: Compulsando-se os autos, entendo que restou demonstrada a obrigação de indenizar por parte do município apelado. Após a edição do Decreto nº 4.555 de 03.04.92, publicado no Diário Oficial na mesma data, declarando o imóvel como área de interesse social, resultou na imediata perda da posse pela autora apelante. Com toda a deferência que merece a ilustre Juíza sentenciante, data venia, ao meu sentir, não precisava a autora recorrente, "...demonstrar ter sido o seu imóvel invadido em decorrência dos decretos que declararam ser o bem de interesse social" (sic f. 130), basta examinar-se atentamente os dispositivos finais do citado decreto expropriatório nº 4.555/92, precisamente, o art. 2º, que assim dispõe: "Art. 2º. Fica delegado à Empresa Municipal de Urbanismo, nos termos da Lei nº 1.670 de 18 de janeiro de 1990, as providências cabíveis nos procedimentos administrativos referentes a desapropriação que trata o artigo anterior, inclusive o levantamento cadastral dos ocupantes da área, visando definitiva regularização e titulação dos beneficiados. (sic. f. 14, o destaque não é do original) e o contido no "histórico" do laudo pericial, assim relatado: "Foi dito, em informação colhida no local, que logo após a publicação do decreto, o terreno sofreu invasão, com a construção de moradias populares de alvenaria de tijolos de barro." (sic. f. 66/67 o destaque não é do original) Ressalte-se que, instadas as partes pelo juízo, como se vê a f. 96, para pronunciarem-se sobre o trabalho do perito, somente a autora apelante se pronunciou, vide f. 98, concordando com o mesmo, tendo o município apelado quedado inerte, deixando passar in albis o prazo para impugná-lo, aceitando-o integralmente, de forma tácita, "quem cala consente", vide certidão de f. 99. Por outro lado, não precisava, igualmente, a autora recorrente demonstrar "qualquer indício de invasão ter sido determinada e incentivada pelo poder público municipal expropriante". Basta examinar nos fotogramas acostados aos autos pelo vistor judicial, a f. 75 e 76, para vermos que foram construídas casas populares, com lotes delimitados, abertas vias públicas asfaltadas e urbanizadas pela municipalidade, inclusive, com a colocação de postes de iluminação pública, os quais, por si incentivam a ocupação em massa por terceiros. Finalmente, cumpre-se destacar outro equívoco praticado pela nobre Juíza a quo, quando consignou no decisum guerreado que a ocupação do bem imóvel ocorreu pela "inércia da autora em defender a sua propriedade", como já foi esclarecido anteriormente a invasão do terreno ao meu sentir decorreu da edição do decreto expropriatório editado pelo município, o qual na verdade, promoveu a construção de logradouros públicos na área em questão. Outrossim, está comprovada a impetração de ação mandamental, por parte da autora recorrente, que tomou o número 297/92, obtendo decisão liminar em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2026-10-26T02:24:29.446Z</dcterms:created>
  <dcterms:modified xsi:type="dcterms:W3CDTF">2026-10-26T02:24:29.446Z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