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>
      <w:r>
        <w:rPr>
          <w:b/>
          <w:bCs/>
        </w:rPr>
        <w:t xml:space="preserve">Recurso: </w:t>
      </w:r>
      <w:r>
        <w:t xml:space="preserve">Agravo de Instrumento 10.823/2001</w:t>
      </w:r>
    </w:p>
    <w:p/>
    <w:p>
      <w:r>
        <w:t xml:space="preserve">66. TRIBUTÁRIO — PARTILHA DE BENS EM SEPARAÇÃO JUDICIAL - DIFERENÇA DE QUINHÕES - INCIDÊNCIA DO ITD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66 TRIBUTÁRIO - PARTILHA DE BENS EM SEPARAÇÃO JUDICIAL - DIFERENÇA DE QUINHÕES - INCIDÊNCIA DO ITD "Em partilha de bens decorrente da separação consensual, em que haja diferença de quinhões sem indício de reposição, compensação pecuniária ou qualquer onerosidade, incidirá o imposto estadual de transmissão sobre doações". REFERÊNCIA: Uniformização de Jurisprudência nº 03/2002 no Agravo de Instrumento nº 10.823/2001 Proc. 2002.018.00003 Julgamento em 18/11/2002 - Votação unânime Relator: DES. JORGE UCHÔA Registro do Acórdão em 14/07/2003 - fls. 4.311/4.313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2026-07-27T23:57:45.273Z</dcterms:created>
  <dcterms:modified xsi:type="dcterms:W3CDTF">2026-07-27T23:57:45.273Z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