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>
      <w:r>
        <w:rPr>
          <w:b/>
          <w:bCs/>
        </w:rPr>
        <w:t xml:space="preserve">Relator: </w:t>
      </w:r>
      <w:r>
        <w:t xml:space="preserve">DESA</w:t>
      </w:r>
    </w:p>
    <w:p/>
    <w:p>
      <w:r>
        <w:t xml:space="preserve">64. RECURSO ADMINISTRATIVO — DEPÓSITO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64 RECURSO ADMINISTRATIVO - DEPÓSITO PRÉVIO "É legítima a exigência do depósito como requisito para interposição de recurso administrativo". REFERÊNCIA: Súmula de Jurisprudência Predominante (art. 122 do RITJ) nº 04/2001 - Proc. 2001.146.00004 Julgamento em 05/05/2003- Votação unânime Relatora: DESA. MARIANNA GONÇALVES Registro do Acórdão em 15/09/2003 - fls. 5.013/5.020 Requerente: Centro de Estudos e Debates (CEDES) NOTAS: Já está assentado na jurisprudência dos nossos Tribunais Superiores que o depósito prévio de percentual do valor do crédito tributário, como requisito de admissibilidade do recurso administrativo, não contraria os princípios da ampla defesa, do contraditório e do devido processo, uma vez que a Constituição não garante o duplo grau de jurisdição em sede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2026-07-27T23:39:42.160Z</dcterms:created>
  <dcterms:modified xsi:type="dcterms:W3CDTF">2026-07-27T23:39:42.160Z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