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>
      <w:r>
        <w:rPr>
          <w:b/>
          <w:bCs/>
        </w:rPr>
        <w:t xml:space="preserve">Relator: </w:t>
      </w:r>
      <w:r>
        <w:t xml:space="preserve">DESA</w:t>
      </w:r>
    </w:p>
    <w:p/>
    <w:p>
      <w:r>
        <w:t xml:space="preserve">64. RECURSO ADMINISTRATIVO — DEPÓSITO PRÉVIO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64 RECURSO ADMINISTRATIVO - DEPÓSITO PRÉVIO "É legítima a exigência do depósito como requisito para interposição de recurso administrativo". REFERÊNCIA: Súmula de Jurisprudência Predominante (art. 122 do RITJ) nº 04/2001 - Proc. 2001.146.00004 Julgamento em 05/05/2003- Votação unânime Relatora: DESA. MARIANNA GONÇALVES Registro do Acórdão em 15/09/2003 - fls. 5.013/5.020 Requerente: Centro de Estudos e Debates (CEDES) NOTAS: Já está assentado na jurisprudência dos nossos Tribunais Superiores que o depósito prévio de percentual do valor do crédito tributário, como requisito de admissibilidade do recurso administrativo, não contraria os princípios da ampla defesa, do contraditório e do devido processo, uma vez que a Constituição não garante o duplo grau de jurisdição em sede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2026-10-26T01:59:51.687Z</dcterms:created>
  <dcterms:modified xsi:type="dcterms:W3CDTF">2026-10-26T01:59:51.687Z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