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/>
    <w:p>
      <w:r>
        <w:t xml:space="preserve">20. EXAME PSICOTÉCNICO — CONDIÇÕES PARA SUA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20 A VALIDADE DO EXAME PSICOTÉCNICO ESTÁ CONDICIONADA À PREVISÃO LEGAL, À EXIGÊNCIA DE CRITÉRIOS OBJETIVOS E À GARANTIA DE RECURSO ADMINISTRATIVO. Legislação: LEI NÚMERO 4.878 DE 01.12.65, ART. 9 INC. VII, ART. 13 PARÁGRAFO ÚNICO - INC. DE UNIF. DE JURISP. NÚMERO 0015/95 Acórdão: 85902 Processo: IUJ1595 Data de Publicação: 28/06/1996 Data de Publicação: 22/09/2003 Data de Publicação: 24/09/2003 Data de Publicação: 26/09/2003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2026-07-27T23:43:43.015Z</dcterms:created>
  <dcterms:modified xsi:type="dcterms:W3CDTF">2026-07-27T23:43:43.015Z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