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RESTABELECIMENTO DE BENEFÍCIO</w:t>
      </w:r>
    </w:p>
    <w:p/>
    <w:p/>
    <w:p>
      <w:r>
        <w:t xml:space="preserve">20. EXAME PSICOTÉCNICO — CONDIÇÕES PARA SUA VALIDADE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Súmula: 20 A VALIDADE DO EXAME PSICOTÉCNICO ESTÁ CONDICIONADA À PREVISÃO LEGAL, À EXIGÊNCIA DE CRITÉRIOS OBJETIVOS E À GARANTIA DE RECURSO ADMINISTRATIVO. Legislação: LEI NÚMERO 4.878 DE 01.12.65, ART. 9 INC. VII, ART. 13 PARÁGRAFO ÚNICO - INC. DE UNIF. DE JURISP. NÚMERO 0015/95 Acórdão: 85902 Processo: IUJ1595 Data de Publicação: 28/06/1996 Data de Publicação: 22/09/2003 Data de Publicação: 24/09/2003 Data de Publicação: 26/09/2003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2026-10-26T04:34:35.624Z</dcterms:created>
  <dcterms:modified xsi:type="dcterms:W3CDTF">2026-10-26T04:34:35.624Z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