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Julgado em: </w:t>
      </w:r>
      <w:r>
        <w:t xml:space="preserve">28/07/1976</w:t>
      </w:r>
    </w:p>
    <w:p/>
    <w:p>
      <w:r>
        <w:t xml:space="preserve">TÍTULO NÃO PROTESTADO — SE PODE O PORTADOR HABILITAR-SE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dúvida que em, conformidade com o art. 13, § 4º, da Lei nº 5.474, de 18-07-1968, com a redação do Decreto-lei nº 436, de 27-01-1969, o portador do título que não o protesta no prazo legal perde o direito de regresso contra o endossante que, na espécie, é a própria sacadora. A perda desse direito de regresso implica, apenas, retirar-se ao portador a ação cambiária específica. Fica, portanto, impedido de requerer a falência da sacadora endossante ou mesmo de intentar contra ela o processo de execução. - Mas a omissão do protesto da duplicata não impede o portador de ajuizar contra a sacadora endossante ação de enriquecimento injustificado cambiariforme. Vale dizer: a perda do direito de regresso implica a perda da ação cambiária específica, mas não da ação de enriquecimento injustificado. Como prova de dívida, é indisputável que pode o portador habilitar-se na concordata da emitente endossante, posto que a omissão do protesto não é óbice para que o portador, através de ação ordinária, procure haver do endossante o crédito representado pela duplicata. - Nessas condições, dão provimento ao recurso para incluir o crédito representado pela duplicata em questão no quadro geral dos credores da concordatária, como quirografário. Julgado em 29-07-1976 Revista dos Tribunais. Agosto, 1977 - Vol. 502 - Pág. 80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portador de duplicata endossada pelo emitente pode habilitar-se na concordata deste, embora não tenha protestado o título.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2026-09-10T22:45:05.714Z</dcterms:created>
  <dcterms:modified xsi:type="dcterms:W3CDTF">2026-09-10T22:45:05.714Z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