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28/07/1976</w:t>
      </w:r>
    </w:p>
    <w:p/>
    <w:p>
      <w:r>
        <w:t xml:space="preserve">TÍTULO NÃO PROTESTADO — SE PODE O PORTADOR HABILITAR-SE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dúvida que em, conformidade com o art. 13, § 4º, da Lei nº 5.474, de 18-07-1968, com a redação do Decreto-lei nº 436, de 27-01-1969, o portador do título que não o protesta no prazo legal perde o direito de regresso contra o endossante que, na espécie, é a própria sacadora. A perda desse direito de regresso implica, apenas, retirar-se ao portador a ação cambiária específica. Fica, portanto, impedido de requerer a falência da sacadora endossante ou mesmo de intentar contra ela o processo de execução. - Mas a omissão do protesto da duplicata não impede o portador de ajuizar contra a sacadora endossante ação de enriquecimento injustificado cambiariforme. Vale dizer: a perda do direito de regresso implica a perda da ação cambiária específica, mas não da ação de enriquecimento injustificado. Como prova de dívida, é indisputável que pode o portador habilitar-se na concordata da emitente endossante, posto que a omissão do protesto não é óbice para que o portador, através de ação ordinária, procure haver do endossante o crédito representado pela duplicata. - Nessas condições, dão provimento ao recurso para incluir o crédito representado pela duplicata em questão no quadro geral dos credores da concordatária, como quirografário. Julgado em 29-07-1976 Revista dos Tribunais. Agosto, 1977 - Vol. 502 - Pág. 80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portador de duplicata endossada pelo emitente pode habilitar-se na concordata deste, embora não tenha protestado o título.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2026-10-26T02:46:57.237Z</dcterms:created>
  <dcterms:modified xsi:type="dcterms:W3CDTF">2026-10-26T02:46:57.237Z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