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recurso extraordinário 81.930</w:t>
      </w:r>
    </w:p>
    <w:p>
      <w:r>
        <w:rPr>
          <w:b/>
          <w:bCs/>
        </w:rPr>
        <w:t xml:space="preserve">Julgado em: </w:t>
      </w:r>
      <w:r>
        <w:t xml:space="preserve">29/11/1976</w:t>
      </w:r>
    </w:p>
    <w:p/>
    <w:p>
      <w:r>
        <w:t xml:space="preserve">LEGISLAÇÃO SUPLETIVA DO ESTADO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julgamento do recurso extraordinário nº 81.930, pelo Tribunal Pleno (RTJ 77/323), de que foi relator o emitente Min. THOMPSON FLORES, assentou-se, em caso análogo, que a enfiteuse de bem do Estado tem o seu resgate regulado pelo art. 693 do CC, pois "nem supletivamente pode o estado legislar a respeito do instituto, tanto mais diferentemente do Código Civil". E aí se reconheceu ter sido acertadamente afirmada, na instância local, a inconstitucionalidade do art. 13 do Decreto-lei Complementar nº 3, de 1969, e do art. 17 do Decreto-lei nº 317/1970, do anterior Estado da Guanabara. - E disse, no seu voto, acompanhado à unanimidade, o eminente Min. THOMPSON FLORES, ao analisar a repulsa às normas locais pelo julgado recorrido: "Penso que, em assim procedendo, em nenhuma de suas afirmações contrariou o veredicto em questão a Constituição, menos nos arts. 10 e 13, e sequer denegou vigência às várias disposições do citado estatuto civil. - "Com efeito". - "As disposições legais transcritas evidenciam que, sob pretexto de regular o processamento interno da transferência de enfiteuse dos bens do seu domínio, o recorrente legislou sobre o instituto mesmo em sua própria essência, alterando-o nos pontos sinalados pelo acórdão. - "Em outra palavras, legislou sobre o contrato enfitêutico, compreendido no âmbito do Direito Civil, próprio e exclusivo da União, no qual, sequer, poderia legislar supletivamente. - "É o que decorre, limpidamente, do art. 8º, nº XVII, "b", e seu parágrafo único, da Constituição. - "Pouco importa que tenha a União, com respeito a bens que integram o seu domínio, disposto diversamente das normas gerais estatuídas pelo Código Civil. - "A legislação por ela expedida, a começar pelo Decreto nº 24.606, de 1934, seguido pelo de nº 2.490, de 1940, de Decreto-lei nº 9.760, de 1946, não traz ao recorrente qualquer proveito, porque sempre lhe foi assegurado o direito de legislar sobre Direito Civil. - "O mesmo, porém, não decorre para os Estados ou para os Municípios, salvo antes do advento do Código Civil, quando a jurisprudência, embora não tranqüila, reconheceu a validade da legislação local quanto aos bens de domínio daquelas pessoas. - "Aqui, porém, tudo se passou na vigência do citado Código, cujo regime, ante a Lei Maior, não autorizava as incursões legislativas pretendidas, sequer, com pretenso amparo nos arts. 10 ou 13, os quais devem ser considerados frente aos termos categóricos e de peremptoriedade, indiscutida, do já citado art. 8º, nº XVII, "b", e seu parágrafo único. - "Assim, sem nenhuma pertinência o apelo às várias disposições do Código Civil, desde o art. 1º, e outros, da Parte Geral (arts. 67 e 68), para findar na Especial, arts. 678 e 679, nº II, sob a consideração de que, a tais contratos, antes de aplicar o Código Civil, que regula as relações de Direito Público, Administrativo. - "Ainda aqui, sem a menor razão o recorrente. - "O contrato em questão não é um contrato administrativo no sentido jurídico da expressão pelo só fato de ser o Estado um dos contratantes e versar sobre bem de seu domínio. - "A distinção entre o contrato administrativo e de administração há de ser buscada em seu fim porque a cada passo o Poder Público contrata com o particular." - A este precedente me reporto, para não conhecer do presente recurso. Julgado em 30-11-1976 Revista dos Tribunais. Agosto, 1977 - Vol. 502 - Pág. 227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resgate de bem enfitêutico do Estado se regula pelo artigo 693 do Código Civil. Não cabe ao Estado legislar supletivamente a respeito do instituto, desatendendo às normas imperativas da lei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2026-10-26T02:49:49.527Z</dcterms:created>
  <dcterms:modified xsi:type="dcterms:W3CDTF">2026-10-26T02:49:49.527Z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