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18/12/1972</w:t>
      </w:r>
    </w:p>
    <w:p/>
    <w:p>
      <w:r>
        <w:t xml:space="preserve">QUANDO SE DEFERE A PERMANÊNCIA COM A AVÓ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perdem-se as partes numa inútil discussão sobre a excelência ou não de bairros da cidade para educação de menores, mas deixam de evidência total que a menor, com dois anos de idade ficou sob a guarda da avó e que, aos oito, quer-se alterar a situação, no interesse afetivo dos cônjuges, sem que se prove a conveniência da alteração e também sem investigar-se o efeito emocional da mesma na menor em tela. Ora, menos não é coisa e qualquer cogitação tendente a trocar-lhe a guarda deveria ser precedida de provas e parecer de educador profissional. - Todavia, nada disto tendo acontecido, é de manter-se a situação atual que não se provou ser inconveniente para a menor, apenas estatuindo regulamentação que será completada ou alterada pelo Juízo "a quo" em face de fatos novos. Julgado em 19-12-1972 Arquivo do Ementário Forense, TJ/215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cônjuges, por convenção extrajudicial, deixaram o filho de dois aos oito anos de idade em poder de sua avó, isto é, por período superior a cinco anos, a situação só poderá ser alterada, por evidente interesse do menor que deverá ser ouvido por educador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2026-10-26T03:48:47.799Z</dcterms:created>
  <dcterms:modified xsi:type="dcterms:W3CDTF">2026-10-26T03:48:47.799Z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