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Apelação Cível 27.098</w:t>
      </w:r>
    </w:p>
    <w:p/>
    <w:p>
      <w:r>
        <w:t xml:space="preserve">EMPRESA INDIVIDUAL — SE OS SEUS EFEITOS SE COMUNICAM AO MARIDO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Primeira Câmara Civil, em recurso da mesma comarca, já julgou conforme ementa adiante transcrita: "Mulher casada com união de bens, titular de empresa individual sob concordata. Dívida civil do marido não se sujeita aos efeitos da concordata. A mulher casada está autorizada por lei a exercer o comércio. Trata-se de exercício de profissão lucrativa distinta da do marido. O produto do seu trabalho, salvo estipulação, diversa em pacto antenupcial, constitui bens reservados (art. 246, do CC). "A empresa da mulher é de sua responsabilidade, distinta da responsabilidade do marido. No caso, a concordatária é a mulher, que é a comerciante; portanto, só a atividade comercial dela é que se envolve nos efeitos da concordata" ("in" Apelação Cível nº 27.098 - Comarca de Santa Cecília - Relator Des. PROTÁSIO LEAL). - Finalmente, quanto ao pedido de suspensão do julgamento constante da petição não há motivo de deferimento porque o advogado suspenso não é o único outorgado, conforme se pode ver da procuração dos autos de execução. Ac. de 18-02-1988 Jurisprudência Catarinense - 1º Trimestre de 1988 - Vol. 59 - Pág. 112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Mulher casada titular de empresa individual. - A empresa da mulher é de sua responsabilidade e distinta da do marido. - Em caso de concordata, só a comerciante, que é a mulher, é que se envolve nos efeitos da mesma.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2026-07-28T02:35:53.400Z</dcterms:created>
  <dcterms:modified xsi:type="dcterms:W3CDTF">2026-07-28T02:35:53.400Z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