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22/09/1976</w:t>
      </w:r>
    </w:p>
    <w:p/>
    <w:p>
      <w:r>
        <w:t xml:space="preserve">SE PODE EXERCÊ-LA QUEM TEM SEDE FORA DO TERRITÓRIO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contrário do que imagina a apelante, as disposições do artigo 8º da Convenção de Paris, a que aderiu o Brasil, são aplicáveis em nosso país. A aludida Convenção foi adotada pelo Brasil, que a ela aderiu. Posteriormente, foi ela revista em Haia, em 1925. Mais recentemente, houve outra revisão, a de Estocolmo, em 1967. Foi a revisão de Estocolmo que se promulgou pelo Dec. 75.572, com restrições quanto aos respectivos artigos 1 a 12. Ou seja, os artigos 1 a 12 objeto das restrições, ou reservas, do Brasil, são os da revisão de Estocolmo à Convenção de Paris, e não os artigos 1 a 12 da própria Convenção. - O que se observa é que, ao estabelecer as restrições brasileiras ao bloco dos artigos 1 a 12 segundo a revisão de Estocolmo, os negociadores e o legislador brasileiros ressalvaram continuar em vigor no Brasil a revisão de Haia, de 1925, e nesta, o art. 8º da Convenção de Paris está assim regido: "O nome comercial será protegido em todos os países da União, sem obrigação de depósito nem de registro, quer faça ou não parte de uma marca de fábrica ou de comércio". - Ora, se o art. 119 do atual Código de Propriedade Industrial (Lei 5.772, de 21-12-1971) dispensa o registro do nome de comércio, o que é evidenciado, em especial, no seu parágrafo 2º, claro está que tal registro é irrelevante e que, assim, tem plena vigência o disposto no aludido art. 8º da Convenção de Paris, na forma da revisão de Haia (1925), que constitui, no caso, a "legislação própria" a que se refere o aludido art. 119. Assim, a apelada é legitimada para postular a proteção do nome comercial ARA no Brasil. - Sem relevo também, por outro lado, a proteção concedida pela Constituição (art. 153) a brasileiros e a estrangeiros r esidentes no país, para o deslinde do caso presente. As disposições constitucionais invocadas estabelecem um mínimo de proteção, aquém do qual a lei não poderá restringir. Nada obsta, porém, que a proteção ali indicada seja dada dentro dos limites constitucionais. Isso, a Constituição não veda. Ao estabelecer um mínimo de proteção, a Lei Magna não fixou também um máximo, o que seria contra-senso no caso. A lei ordinária e, no caso, os acordos internacionais, regularmente ratificados e promulgados no Brasil, podem ampliar a proteção ao uso exclusivo do nome e da marca de comércio. - Por tais motivos, confirma-se integralmente a sentença apelada. Julgado em 23-09-1976 Arquivo do Ementário Forense, TA/89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Independente de depósito ou de registro, pode invocar a proteção ao nome comercial quem tenha domicílio ou sede fora do território nacional.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2026-09-10T22:45:33.663Z</dcterms:created>
  <dcterms:modified xsi:type="dcterms:W3CDTF">2026-09-10T22:45:33.663Z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