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06/12/1976</w:t>
      </w:r>
    </w:p>
    <w:p/>
    <w:p>
      <w:r>
        <w:t xml:space="preserve">INTERRUPÇÃO CONTRA O EMITENTE — SE SE ESTENDE AOS AVALISTAS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veio até esta Corte em razão do provimento do agravo nº 63.600 - PE, em face do parecer da Procuradoria-Geral da República, que argumentou ser discutível o acerto do acórdão, "em face dos termos do art. 176, § 1º, do CC". Creio, entretanto, que melhor examinou a matéria o segundo parecer que li no relatório: Com efeito, já escrevia JOÃO EUNÁPIO BORGES: "A solidariedade que junge todos eles à obrigação de pagar o título é a solidariedade cambial específica, sucessiva ou de caução, à qual não se aplica a norma do art. 176, § 1º, do CC. A interrupção operada contra um coobrigado não atinge nem prejudica aos demais. E, particularmente, interrompida a prescrição contra o avalizado, continua ela a correr, em relação ao avalista e vice-versa. "A Lei Uniforme consagrou o princípio em seu art. 71: "L'interruption de la prescription n'a d'effet que contre celui à l'égard duquel l'acte interruptif a été fait" ("Do Aval", Forense, ed. 1960, págs. 182-183). - Promulgada a Convenção pelo Decreto nº 57.663, de 24-01-1966, incorporou-se ela à legislação interna (RTJ 58/70), daí a aplicação de seu art. 71, não se podendo censurar o acórdão, com a invocação do art. 176, § 1, do CC. - Não conheço do recurso. Julgado em 07-12-1976 Revista dos Tribunais. Agosto, 1977 - Vol. 502 - Pág. 224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interrompida a prescrição da ação cambial contra o emitente, prossegue em relação aos avalistas.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2026-09-10T22:44:53.801Z</dcterms:created>
  <dcterms:modified xsi:type="dcterms:W3CDTF">2026-09-10T22:44:53.801Z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