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23/09/1976</w:t>
      </w:r>
    </w:p>
    <w:p/>
    <w:p>
      <w:r>
        <w:t xml:space="preserve">DIREITO DA VÍTIMA A CIRURGIAS PLÁSTICAS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lesão sofrida pelo autor causou alteração em sua imagem natural. - Faz jus a que ela seja recomposta, pois será a forma de se restaurar o "status quo ante". - Assim se decidiu, aliás, em embargos infringentes nº 213.731, de que foi relator o mesmo deste feito, votando vencedores, ainda, os Des. JURANDIR NILSON e MACEDO BITTENCOURT, vencidos os Des. HENRIQUE MACHADO e BARBOSA PEREIRA. - Esse julgado foi inserto da "Revista de Jurisprudência do TJSP" 25/198. - Ali se anotou o seguinte: Como dispõe o art. 1.538 do CC. "no caso de ferimento ou outra ofensa à saúde, o ofensor indenizará o ofendido das despesas de tratamento ...". - Por despesas de tratamento devem ser entendidas não apenas aquelas destinadas a restabelecer o bem-estar da vítima mas a própria aparência física anterior, pelo menos quando isso seja possível e razoável. - É, aliás, o que se colhe da doutrina de AGUIAR DIAS: "...elas (as despesas de tratamento) se compreendem, naturalmente, como todas as que o tratamento impõe: assistência médica, remédios, aparelhos ortopédicos e tudo quanto se ligue a esses cuidados ... essa parcela há de se fundar em base razoável e atender ao que ordinariamente se depende para obter o resultado desejado, como recuperação da situação anterior ao dano" ("Da Responsabilidade Civil", ed. Forense, Rio, 4ª ed., 1960, pág. 813). - Ora, no caso, só haverá recuperação da situação precedente ao dano no dia em que, através de cirurgia plástica conseguir o embargante (aqui o embargado) restaurar sua aparência física anterior, pois o dano estético registrado (aqui nas fotografias de ...) ainda persiste. - Nem se objete que o Código Civil, em tema de lesão corporal s ó concede indenização específica prevista no art. 1.538 e não alude ao dano estético, só cogitando de hipóteses de aleijão ou deformidade ... . - Segundo, ainda, o autorizado AGUIAR DIAS, "o que se contém nos arts. 1.533 e segs. é, conforme se vê, critério para a liquidação e não fundamento, base ou princípio de reparabilidade. O art. 159, confirmado pelo art. 1.518, é que dá a orientação doutrinária: todo dano é reparável, como ofensa ao direito alheio" (ob. e loc. cits; pág. 799). - Acrescente-se: pelo menos o dano cuja reparação seja aferível economicamente, como é o caso do dano estético eliminável por cirurgia plástica. - SERPA LOPES considera o "dano estético" "um prejuízo que pode ser corrigido "in natura", através dos milagres da cirurgia plástica, cuja operação inegavelmente se impõe como incluída na reparação do dano e na sua liquidação ("Curso de Direito Civil", Ed. Freitas Bastos, 1962, vol. V/401, § 300). - Aliás, essa orientação o grande civilista deixou clara em acórdão de que foi relator (RT 193/403, mais especificamente à pág. 407). - Em julgado dos eminentes Des. FERREIRA DE OLIVEIRA, relator, CARDOSO ROLIM e PRADO FRAGA se ressalvou à vítima "o direito de pleitear futuramente, dos réus, o custo da nova operação a que se submeter, se caso necessária, para sua perfeita estética" (RT 262/272, mais especificamente à pág. 275). - Estabelecendo sinonímia entre as expressões "deformidade" e "dano estético", MARTINHO GARCEZ NETO os conceitua como "toda alteração morfológica do indivíduo, qualquer que seja a sua extensão e tenha ou não exercido qualquer influência sobre a capacidade laborativa da pessoa. Indenizável por si mesma, a referida lesão consubstancia direito subjetivo próprio, que exige tutela adequada, através de reparação especial" ("Prática da Responsabilidade Civil", 2ª ed; 1972, pág. 76). - A 3ª Câmara Civil deste Tribunal, em acórdão unânime dos emitentes Des. COSTA M ANSO, relator, COSTA LEITE e BONFIM PONTES, somente negou a verba relativa a dano estético "porque não se comprovou que trouxe reflexos prejudiciais à economia do ofendido, ou ainda que justificasse a intervenção oportuna da cirurgia restauradora ou da clínica de recuperação" (RT 436/97-98). - Ali se invocou julgado do STF, cuja ementa é a seguinte: "O dano estético vai-se convertendo, progressivamente, em dano patrimonial, pelos progressos da cirurgia restauradora e da clínica de recuperação" (votação unânime em Tribunal Pleno, relator Min. CÂNDIDO DA MOTTA FILHO) (v. também RTJ do STF 39/320 e 47/316). - O fato de não haver o Código Civil, em dispositivo expresso, cogitado do dano estético, afirmando-o reparável, se deve muito mais à circunstância de que, à época de sua elaboração, a cirurgia plástica no Brasil, se existia, era ainda incipiente. - Isso não significa, porém,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do acidente sofrido resultou dano estético para a vítima, tem ela o direito ao reembolso das despesas de cirurgias plásticas já realizadas e das que vierem a se tornar necessárias.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2026-06-17T14:20:43.660Z</dcterms:created>
  <dcterms:modified xsi:type="dcterms:W3CDTF">2026-06-17T14:20:43.660Z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