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>
      <w:r>
        <w:rPr>
          <w:b/>
          <w:bCs/>
        </w:rPr>
        <w:t xml:space="preserve">Recurso: </w:t>
      </w:r>
      <w:r>
        <w:t xml:space="preserve">apelação cível 526</w:t>
      </w:r>
    </w:p>
    <w:p>
      <w:r>
        <w:rPr>
          <w:b/>
          <w:bCs/>
        </w:rPr>
        <w:t xml:space="preserve">Julgado em: </w:t>
      </w:r>
      <w:r>
        <w:t xml:space="preserve">11/04/1977</w:t>
      </w:r>
    </w:p>
    <w:p/>
    <w:p>
      <w:r>
        <w:t xml:space="preserve">INSTITUIÇÃO A FAVOR DO CREDOR HIPOTECÁRIO — EFEITOS EM RELAÇÃO AOS HERDEIROS DO DEVEDOR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seguro instituído na hipoteca visa apenas garantir a quitação de débito, no caso de morte do adquirente. Ocorrente essa morte, o crédito é quitado pela seguradora junto ao agente financeiro. Isto, obviamente, sem repercussão ou conseqüência para os herdeiros do devedor no caso representados pelo espólio autor. - Esses já receberam o que lhes deve ter tocado quando do pagamento do preço da transferência do negócio e que foi pago ao extinto nos termos da escritura pública relativa ao negócio. O seguro não beneficia aos herdeiros, mas, tão somente, ao credor hipotecário. - Extinto o débito hipotecário, fica o imóvel liberado do ônus correspondente, pura e simplesmente, não se gerando daí qualquer relação jurídica entre os herdeiros do espólio e o promitente comprador, ora apelado. O preço da promessa foi pago nada mais cabendo ao espólio e aos herdeiros do extinto reclamar contra o réu. - O fato de beneficiar-se este com a extinção do débito é inconseqüente para os herdeiros, ainda por verificar-se que o mesmo ocorreria se o réu promitente comprador houvesse transferido o débito para o seu próprio nome. O restante do preço era devido à financiadora credora hipotecária e nunca ao espólio apelante. Julgado em 12-04-1977 Arquivo do Ementário Forense, TA/98. EMENTÁRIO FORENSE. Março, 1978. Ano XXX. Nº 352 EMENTA: - Não se presume a devolutividade de imóvel por falta de sua transcrição imobiliária. RESUMO DO ACÓRDÃO: - ... A impugnação da sentença, pelo Estado, funda-se única e exclusivamente na alegação de que as terras objeto desta ação de usucapião são devolutas, por faltarem a elas transcrição imobiliária. - Esta Câmara, julgando a apelação cível nº 526 em 19 de agosto último, acompanhando o meu voto como relator, decidiu caber ao Estado comprovar a sua alegação de devolutividade do imóvel usucapiendo, pois que ela não se presume em conseqüência da falta da transcrição imobiliária. - Tem o Estado a ação discriminatória, da Lei 3.081, de 22 de dezembro de 1956, para a declaração de seu domínio sobre o imóvel. - Ademais disso, não é verdadeira a alegação do Estado de que o móvel usucapiendo não está transcrito no Registro Imobiliário. - Reza a certidão ... do 4º Ofício do Registro Geral de Imóveis, constar a transcrição de um terreno denominado Vila Luzitânia, limitado pelas avenidas Luzitânia e Camões e pelas ruas Braga e Coimbra. - O Dr. Perito do Juízo, cumprindo despacho exarado no relatório ..., informa que o terreno usucapiendo está justamente dentro daquela área. Faz o Dr. Perito acompanhar seu esclarecimento de dois trechos da planta cadastral desta Cidade, que comprovam seu esclarecimento. Julgado em 30-03-1976 Arquivo do Ementário Forense, TJ/218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seguro de crédito no financiamento de aquisição do imóvel é instituído para garantia do reembolso do crédito em favor da credora hipotecária sem repercussão ou benefício de herdeiros do devedor.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2026-10-26T02:42:25.500Z</dcterms:created>
  <dcterms:modified xsi:type="dcterms:W3CDTF">2026-10-26T02:42:25.500Z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