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REsp 258.949/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>
      <w:r>
        <w:rPr>
          <w:b/>
          <w:bCs/>
        </w:rPr>
        <w:t xml:space="preserve">Julgado em: </w:t>
      </w:r>
      <w:r>
        <w:t xml:space="preserve">15/12/2002</w:t>
      </w:r>
    </w:p>
    <w:p/>
    <w:p>
      <w:r>
        <w:t xml:space="preserve">NÃO CONFIGURAÇÃO — PORTARIA DE REMOÇÃO DECLARADA NULA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reclamante, servidora administrativa da Embaixada do Brasil na Áustria, interpôs Recurso Especial visando à anulação da Portaria que determinou, sem motivação, sua remoção da referida lotação para ficar à disposição da Secretaria-Geral do Ministério das Relações Exteriores no Brasil, tendo sido seu pedido provido por esta Relatoria e ratificado em sede de Agravo Regimental interposto pela União Federal. Em 28.06.2002, após a publicação da referida decisão, protocolou expediente junto ao Ministério das Relações Exteriores, para que este adotasse as medidas necessárias para o cumprimento do decisum deste Colegiado, não obtendo resposta até 14.02.2003 (data do protocolo da presente Reclamação), mesmo após reiterar o pedido em 18 de dezembro de 2002 e a decisão haver transitado em julgado em 16.12.2002. - Em suas informações, o Ministro de Estado, interino, das Relações Exteriores afirma ser inexeqüível a decisão proferida no REsp 258.949/DF, tendo em vista a prejudicialidade do pedido quando do seu julgamento, porquanto a reclamante já havia sido demitida por abandono de cargo, de acordo com Processo Administrativo , que correu à sua revelia, instaurado, num determinado lapso temporal, quando da decisão proferida pelo Tribunal Regional Federal da 1ª Região, que cassou a liminar que mantinha a servidora na Áustria. Sustenta, ainda, não haver o que se cumprir, pois "o pedido da reclamante tem contornos claramente delimitados e cingiu-se à anulação dos atos de remoção, assegurando a sua lotação na Embaixada, pelo prazo de 10 (dez) anos, contados a partir de sua chegada no posto, isto é, 27 de fevereiro de 1990", estando, portanto, limitado por uma condição temporal que já se exauriu em fevereiro de 2000. - Adentro ao mérito da reclamação. - Quando do exame do Recurso Especial, assim asseverei acerca da motivação do ato atacado, "verbis": "Inicialmente, anoto que assim dispõe a legislação invocada pela recorrente (Lei nº 8.829/93): "Art. 21. O instituto da remoção, de que trata a Lei nº 7.501, de 27 de junho de 1986, quando aplicado aos Oficiais de Chancelaria e aos Assistentes de Chancelaria, obedecerá aos planos de movimentação preparados pelo órgão de pessoal do Ministério das Relações Exteriores. Art. 22. Nas remoções de Oficial de Chancelaria e de Assistente de Chancelaria observar-se-ão, entre outras, as seguintes disposições: I - estágio inicial mínimo de quatro anos de efetivo exercício na Secretaria de Estado; II - cumprimento de prazos máximos de cinco anos de permanência em cada posto e de dez anos consecutivos no exterior; III - cumprimento de prazo mínimo de quatro anos de efetivo exercício na Secretaria de Estado entre duas missões permanentes no exterior; IV - habilitação no Curso de Treinamento para o Serviço no Exterior (CTSE) para o Assistente de Chancelaria. Parágrafo único. O prazo máximo de dez anos consecutivos de permanência no exterior poderá, atendida à conveniência do serviço e ao interesse do servidor, estender-se a doze anos, desde que nesse período um dos postos seja do Grupo C. Art. 23. Somente em casos excepcionais, justificados pelo interesse do serviço, serão, a critério da Administração, efetuadas remoções de Oficial de Chancelaria e de Assistente de Chancelaria para a Secretaria de Estado antes de cumpridos os prazos a que se refere o artigo anterior." - O Decreto Regulamentador nº 1.565/95, assim dispõe: "Art. 53. As remoções do Oficial de Chancelaria e do Assistente de Chancelaria para os postos no exterior far-se-ão de acordo com planos de movimentação preparados pela Divisão do Pessoal. Parágrafo único. Na remoção serão observadas as seguintes disposições: a) cumprimento de prazo máximo de cinco anos de permanência em cada posto; b) cumprimento de prazo máximo de dez anos consecutivos no exterior, excepcionada a hipótese prevista no art. 62 deste Decreto: c) cumprimento de prazo mínimo de quatro anos de efetivo exercício na Secretaria de Estado entre duas missões permanentes no exterior. Art. 62. O prazo máximo de dez anos consecutivos de permanência no exterior poderá, atendidos a conveniência do serviço e o interesse do servidor, estende-se a doze anos,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Decretada a nulidade, pelo Poder Judiciário, da Portaria de Remoção da servidora, por ausência de motivação, todos os atos administrativos subseqüentes, inclusive o Processo Administrativo, são nulos e, em conseqüência, inexistentes, porquanto eivados de vícios de nulidade desde o nascedouro, não podendo a autoridade reclamada falar em abandono de cargo, devido à ausência do "animus abandonandi" e já que estamos diante de uma invalidação judicial do ato, por vício insanável. - ... deve-se reintegrar a reclamante no mesmo cargo, função e lotação que exercia em 1994 (Viena - Áustria), restabelecendo-se o "status quo" ante, haja vista que os efeitos da decretação de nulidade do ato administrativo se operam "ex tunc", ou seja, retroagem às suas origens.(Ementa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2026-10-26T02:24:44.138Z</dcterms:created>
  <dcterms:modified xsi:type="dcterms:W3CDTF">2026-10-26T02:24:44.138Z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