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INDENIZAÇÃO POR DANO MATERIAL</w:t>
      </w:r>
    </w:p>
    <w:p/>
    <w:p>
      <w:r>
        <w:rPr>
          <w:b/>
          <w:bCs/>
        </w:rPr>
        <w:t xml:space="preserve">Recurso: </w:t>
      </w:r>
      <w:r>
        <w:t xml:space="preserve">RE 76.153</w:t>
      </w:r>
    </w:p>
    <w:p>
      <w:r>
        <w:rPr>
          <w:b/>
          <w:bCs/>
        </w:rPr>
        <w:t xml:space="preserve">Julgado em: </w:t>
      </w:r>
      <w:r>
        <w:t xml:space="preserve">16/08/1976</w:t>
      </w:r>
    </w:p>
    <w:p/>
    <w:p>
      <w:r>
        <w:t xml:space="preserve">RESPONSABILIDADE SOLIDÁRIA — SE ABRANGE AS MULTAS PUNITIVAS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conheço do recurso, nos termos do parecer da Procuradoria Geral da República. - Esta Turma tem decidido, reiteradamente, que o sucessor, adquirente do estabelecimento comercial, responde pelos tributos devidos pelo antecessor, não porém por multas punitivas, sobretudo se impostas posteriormente à aquisição. Adotaram essa orientação, entre outros, o RE 76.153, de 30-11-1973 (R.T.J. 69/211-214), o RE 77.471, de 9-8-1974 (R.T.J. 74/139-144), o RE 77.571, de 4-3-1975 (R.T.J. 74/445-447), o A.g. 63.268 (AgRg), de 27-5-1975 (R.T.J. 74/378-379), o Ag. 64.622, de 28-11-1975, citados no parecer da Procuradoria Geral da República. - Não se discutiu, no caso, a questão da anterioridade do auto de infração, em relação à sucessão do estabelecimento. - É pacífica a jurisprudência no sentido de que não contraria preceito da constituição, ou de lei federal, a redução, de 20% para 10%, do acréscimo sobre o imposto exigido pelo Estado. Podem ser apontados, em casos análogos os julgados no RE 57.904 de 25-4-1966 (R.T.J. 37/296-297) e no RE 90.964, de 7-3-1967 (R.T.J. 41/55-57). Julgado em 17-08-1976 Revista Trimestral de Jurisprudência Novembro, 1977. Vol. 82 - Pág. 544 NO MESMO SENTIDO: RE 76,153, Ag. Instr. 60.180, in "EMENTÁRIO FORENSE", Ns. 316 e 332. EMENTÁRIO FORENSE. Julho, 1978. ANO XXX. Nº 336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sucessor, adquirente do estabelecimento comercial, responde pelos tributos devidos pelo antecessor, não porém por multas punitivas, sobretudo se impostas posteriormente à aquisição.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2026-07-28T03:15:30.791Z</dcterms:created>
  <dcterms:modified xsi:type="dcterms:W3CDTF">2026-07-28T03:15:30.791Z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