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NÃO RESIDENCIAL</w:t>
      </w:r>
    </w:p>
    <w:p>
      <w:r>
        <w:rPr>
          <w:i/>
          <w:iCs/>
          <w:color w:val="666666"/>
        </w:rPr>
        <w:t xml:space="preserve">ADQUIRENTE DO IMÓVEL</w:t>
      </w:r>
    </w:p>
    <w:p/>
    <w:p/>
    <w:p>
      <w:r>
        <w:t xml:space="preserve">CLÁUSULA DE VIGÊNCIA CONTRA O ADQUIRENTE — SE VALE PARA TAL A REFERÊNCIA A HERDEIROS E SUCESSORES DO LOCADOR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1.197 do Código Civil. - A simples referência do fato do locador se obrigar por si, seus herdeiros e sucessores, não é bastante para compor a oponibilidade da locação e a possibilidade de sua inscrição no Registro Imobiliário. V. o st. ADQUIRENTE DO IMÓVEL EMENTÁRIO FORENSE. Julho, 1978. Ano XXX, Nº 356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2026-10-26T03:52:51.790Z</dcterms:created>
  <dcterms:modified xsi:type="dcterms:W3CDTF">2026-10-26T03:52:51.790Z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