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LOCAÇÃO NÃO RESIDENCIAL</w:t>
      </w:r>
    </w:p>
    <w:p>
      <w:r>
        <w:rPr>
          <w:i/>
          <w:iCs/>
          <w:color w:val="666666"/>
        </w:rPr>
        <w:t xml:space="preserve">ADQUIRENTE DO IMÓVEL</w:t>
      </w:r>
    </w:p>
    <w:p/>
    <w:p/>
    <w:p>
      <w:r>
        <w:t xml:space="preserve">CLÁUSULA DE VIGÊNCIA CONTRA O ADQUIRENTE — SE VALE PARA TAL A REFERÊNCIA A HERDEIROS E SUCESSORES DO LOCADOR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Art. 1.197 do Código Civil. - A simples referência do fato do locador se obrigar por si, seus herdeiros e sucessores, não é bastante para compor a oponibilidade da locação e a possibilidade de sua inscrição no Registro Imobiliário. V. o st. ADQUIRENTE DO IMÓVEL EMENTÁRIO FORENSE. Julho, 1978. Ano XXX, Nº 356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2026-09-11T00:28:46.289Z</dcterms:created>
  <dcterms:modified xsi:type="dcterms:W3CDTF">2026-09-11T00:28:46.289Z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