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/>
    <w:p>
      <w:r>
        <w:t xml:space="preserve">CLÁUSULA DE VIGÊNCIA CONTRA O ADQUIRENTE — SE VALE PARA TAL A REFERÊNCIA A HERDEIROS E SUCESSORES DO LOCADOR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1.197 do Código Civil. - A simples referência do fato do locador se obrigar por si, seus herdeiros e sucessores, não é bastante para compor a oponibilidade da locação e a possibilidade de sua inscrição no Registro Imobiliário. V. o st. ADQUIRENTE DO IMÓVEL EMENTÁRIO FORENSE. Julho, 1978. Ano XXX, Nº 356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2026-06-17T14:17:58.480Z</dcterms:created>
  <dcterms:modified xsi:type="dcterms:W3CDTF">2026-06-17T14:17:58.480Z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