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NÃO RESIDENCIAL</w:t>
      </w:r>
    </w:p>
    <w:p>
      <w:r>
        <w:rPr>
          <w:i/>
          <w:iCs/>
          <w:color w:val="666666"/>
        </w:rPr>
        <w:t xml:space="preserve">ADQUIRENTE DO IMÓVEL</w:t>
      </w:r>
    </w:p>
    <w:p/>
    <w:p>
      <w:r>
        <w:rPr>
          <w:b/>
          <w:bCs/>
        </w:rPr>
        <w:t xml:space="preserve">Recurso: </w:t>
      </w:r>
      <w:r>
        <w:t xml:space="preserve">RE 84.063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02/11/1971</w:t>
      </w:r>
    </w:p>
    <w:p/>
    <w:p>
      <w:r>
        <w:t xml:space="preserve">CASO DE SÓCIO QUE CEDE A TERCEIRO PARTE DE SUAS COTAS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sócios eram três. - A certa altura do tempo, o ora primeiro apelante quis ceder a terceiro que não era sócio uma parte do seu capital na sociedade. - Preferiu, contudo, fazê-lo de forma a que o terceiro não ficasse como membro da sociedade. - Podia fazê-lo? Sim. - Para isso, há o permissivo do artigo 334 do Código Comercial;... - ..................................................... - Então fizeram um documento singelo, mas expressivo da vontade das partes, embora sua redação deixe algo a desejar. É o documento ..., cuja feitura os demais sócios assistiram, e aceitaram o recibo tal como redigido. - No referido recibo lê-se que o ora primeiro apelante vendeu ao ora segundo apelante, por Cr$ 5.000,00 (cinco mil cruzeiros), que recebeu no ato, 5.000 (cinco mil) de suas quotas. - Se a redação tivesse parado aí, nenhuma dúvida podia existir. - Mas ela prosseguiu, dizendo que as cinco mil quotas vendidas representavam "5% do Capital social da firma", quando devia dizer que elas representavam 5% do capital que o vendedor (ora primeiro apelante) tinha na firma. - Lendo-se atentamente o recibo e pelas circunstâncias em que o negócio se fez (com simples "assistência", mas sem o expresso "consentimento de todos os outros sócios) é de se aceitar melhor que o comprador das quotas tornou-se sócio na parte do vendedor, sem, contudo, tornar-se membro da sociedade. - Como a sociedade acabou sendo dissolvida, a situação dos sócios precisou ser apurada. - Acontece que o segundo apelante pretende u ser sócio da sociedade, ao passo que o primeiro apelante considera-o apenas como um associado seu. - A razão esta é com o primeiro apelante, de quem o segundo apelante tornou-se sócio de fato, sem jamais compor a sociedade comercial, de direito. - Ele não a compôs, tanto que não houve nenhuma alteração contratual nesse sentido. Nenhum contrato foi assinado, no particular, por todos os sócios. - Então, o primeiro apelante tem como sócio seu, de fato, só nas suas quotas, na base de 5%, o segundo apelante. - Vendidas que foram pelo primeiro apelante as suas quotas, por via de conseqüência, dissolve-se a sociedade. - Surge o direito do segundo apelante a receber a sua participação no valor das quotas pelo primeiro apelante. - Por quanto foi feita a venda? Por Cr$ 1.125.000,00 (hum milhão, cento e vinte e cinco mil cruzeiros). - Sobre essa importância devem ser calculados os 5% (cinco por cento) do sócio de fato do primeiro apelante, que dão um produto de Cr$ 56.250,00 (cinqüenta e seis mil duzentos e cinqüenta cruzeiros) que é o quanto deve ser pago ao sócio de fato, na forma e dentro dos prazos previstos no contrato... - Daí decorre que a outra pretensão do primeiro apelante, qual seja a de exonerar-se do pagamento da verba honorária, também procede, porque realmente há sucumbência recíproca: a quantia a ser paga é muito menor e a forma do pagamento prolonga-se até novembro de 1981, ao passo que o segundo apelante queria o pagamento a vista. - Dessa forma, cada um dos apelantes pagará os honorários do seu advogado. Julgado em 03-11-1971 Arquivo do Ementário Forense, TJ/590 EMENTÁRIO FORENSE. Julho, 1978. ANO XXX. Nº 356 EMENTA: - Não se presumem devolutas terras não transcritas no Registro de Imóveis como de domínio particular. RESUMO DO ACÓRDÃO: - No mérito, não provou a Fazenda do Estado que a área descrita na inicial já estivesse discriminada como sendo de terras devolutas, pertencentes ao Estado ou ao município de Cunha. - A jurisprudência dominante é no sentido que "não se presumem devolutas as terras não transcritas no registro imobiliário, como de domínio particular" (in "Dez Anos de Jurisprudência", TJSP, pág. 1.029). - Essa prova não foi feita nos autos, como bem demonstrou a apelante em suas razões, fazendo aliás, invocação de jurisprudência, em sentido oposto à argumentação adotada na sentença. - No mais, como observou a douta Procuradoria Geral da Justiça, não elide a pretensão da autora, o fato de imóvel usucapiendo se situar em área de reserva florestal. Essa circunstância pode apenas impedir a desmatação do imóvel, mas não impede a sua aquisição por usucapião. - Não ocorre, por outro lado, a procedência de que o imóvel não estava convenientemente descrito. Para a procedência do usucapião é necessário estabelecer os limites da área usucapienda (cf. RT 316/481), de molde a individuá-la com seus contornos certos e definidos (RT 140/582, 154/657 e 165/243). - Não há obrigatoriedade de se estabelecer a orientação geodésica de seus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334 do Código Comercial - Ao sócio de uma sociedade comercial não é lícito ceder a terceiro que não seja sócio, a parte que tiver na sociedade, sem consentimento expresso de todos os outros sócios; mas poderá associá-lo a sua parte sem que por esse fato o associado fique considerado membro da sociedade.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2026-09-10T23:36:59.162Z</dcterms:created>
  <dcterms:modified xsi:type="dcterms:W3CDTF">2026-09-10T23:36:59.162Z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