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/>
    <w:p>
      <w:r>
        <w:t xml:space="preserve">EXCLUSÃO — SE É NECESSÁRIO OPOSIÇÃO DE EMBARGOS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...................................................... - Interpostos embargos à execução pelo apelante, foram julgados parcialmente procedentes (f.), afastando-se a constrição sobre as linhas telefônicas (f.), sobrevindo reforço de penhora sobre o imóvel ... (f.), que alega ser impenhorável, por se tratar de imóvel residencial. - Assim, a questão da impenhorabilidade do imóvel, com base na Lei 8.009/90, deveria ser discutida dentro dos próprios autos da execução de sentença, como incidente processual. - Ora, para excluir bens penhorados, com fundamento na Lei 8.009/90, não é necessário interpor embargos, pois estes dizem respeito à defesa do processo de execução em si, e a aplicação dessa, por ser um incidente processual, pode muito bem ser examinado e decidido dentro dos próprios autos da execução. Ac. de 21-10-1997 Revista dos Tribunais. Fevereiro de 1998. Nº 748, pág. 265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exclusão de bens penhorados com fundamento na Lei 8.009/90, não é necessário interpor embargos, pois os embargos dizem respeito à defesa do processo de execução em si, e a aplicação da norma de impenhorabilidade, por ser um incidente processual, pode ser examinado e decidido dentro dos próprios autos da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2026-10-26T03:26:53.446Z</dcterms:created>
  <dcterms:modified xsi:type="dcterms:W3CDTF">2026-10-26T03:26:53.446Z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