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LEI 10.150 DE 21-12-2000</w:t>
      </w:r>
    </w:p>
    <w:p/>
    <w:p/>
    <w:p>
      <w:r>
        <w:t xml:space="preserve">02. ADICIONAL AO FRETE — AFRMM E FUNDO DA MARINHA MERCANTE - FMN - DISPÕE SOBRE</w:t>
      </w:r>
    </w:p>
    <w:p/>
    <w:p>
      <w:pPr>
        <w:pStyle w:val="Heading2"/>
      </w:pPr>
      <w:r>
        <w:rPr>
          <w:b/>
          <w:bCs/>
        </w:rPr>
        <w:t xml:space="preserve">Ementa</w:t>
      </w:r>
    </w:p>
    <w:p>
      <w:r>
        <w:t xml:space="preserve">Art. 26. Os recursos do FMM serão aplicados: I - em apoio financeiro reembolsável mediante concessão de empréstimo: a) prioritariamente à empresa brasileira de navegação, até noventa por cento do valor do projeto aprovado: 1. para a construção de embarcação em estaleiro brasileiro; e 2. para jumborização, conversão, modernização ou reparação de embarcação própria, inclusive para a aquisição e instalação de equipamentos necessários, quando realizados por estaleiro brasileiro; b) a empresa brasileira de navegação, a estaleiro e outras empresas ou entidades brasileiras, inclusive as representativas de classe, para projetos de pesquisa e desenvolvimento científico ou tecnológico e formação de recursos humanos voltados para os setores da marinha mercante, construção ou reparo naval, até noventa por cento do valor do projeto aprovado; c) a estaleiro brasileiro, para financiamento à produção de embarcação: 1. destinada a empresa brasileira de navegação, até noventa por cento do valor do projeto aprovado; 2. destinada à exportação, até noventa por cento do valor do projeto aprovado; d) à Marinha do Brasil, até cem por cento do valor do projeto aprovado, para construção e reparos, em estaleiros brasileiros, de embarcações auxiliares, hidrográficas, oceanográficas, e de embarcações a serem empregadas na proteção do tráfego marítimo nacional; e) às entidades públicas, instituições de pesquisa e a outros órgãos, inclusive os representativos de classe dos setores de marinha mercante e de construção naval, até cem por cento do valor do projeto aprovado, para a construção de embarcações auxiliares, hidrográficas e oceanográficas, em estaleiros brasileiros; f) às empresas brasileiras, até noventa por cento do valor do projeto aprovado, para construção, jumborização, conversão, modernização ou reparação, quando realizadas por estaleiro brasileiro , de qualquer tipo de embarcação própria, de aplicação comercial, industrial ou extrativista, no interesse do desenvolvimento da marinha mercante e da indústria de construção e reparação naval; g) aos estaleiros brasileiros, para financiamento a reparo de embarcações, até noventa por cento do valor do projeto aprovado; h) aos estaleiros brasileiros, para expansão e modernização de suas instalações ou para construção de novas instalações, até noventa por cento do valor do projeto aprovado; i) à empresa de navegação ou estaleiro brasileiros, no apoio financeiro à construção ou produção de embarcações destinadas ao transporte fluvial de passageiros de elevado interesse social, até cem por cento do valor do projeto aprovado; j) à empresa de navegação ou estaleiro brasileiros no apoio financeiro à construção ou produção de embarcações destinadas à pesca de elevado interesse social, até cem por cento do valor do projeto aprovado; e l) para outras aplicações em investimentos, no interesse da marinha mercante e da indústria de construção naval brasileiras; II - no pagamento ao agente financeiro: a) de valor correspondente à diferença apurada entre o custo de captação de recursos para o agente financeiro e o custo do financiamento contratado com o beneficiário, sempre que o agente financeiro for o Banco Nacional de Desenvolvimento Econômico e Social - BNDES; b) das comissões devidas pela concessão de financiamentos realizados com recursos do FMM e de outras fontes, a título de administração ou risco das operações contratadas até a publicação desta Medida Provisória; e c) de juros equivalentes à taxa referencial do Sistema Especial de Liquidação e de Custódia - SELIC, para títulos federais, incidentes sobre os adiantamentos de recursos realizados pelo agente financeiro com recursos de outras fontes, destinado ao pagamento das comissões de risco devidas em operações de repasse de recursos do FMM; III - no financiamento da diferença entre o custo interno efetivo de construção de embarcações e o valor das operações contratadas, com recursos do FMM e de outras fontes, limitada a dez por cento do valor do contrato de construção de embarcação destinada ao mercado interno; IV - em crédito reserva, até o limite de vinte por cento do valor do contrato de financiamento concedido com recursos do FMM e de outras fontes, à produção de embarcação destinada à exportação, visando assegurar o término da obra, no caso de descumprimento da correspondente obrigação de fazer por parte do estaleiro; V - em programas especiais direcionados à pesca artesanal ou ao transporte de passageiros, considerados atividades prioritári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2026-10-26T03:46:19.840Z</dcterms:created>
  <dcterms:modified xsi:type="dcterms:W3CDTF">2026-10-26T03:46:19.840Z</dcterms:modified>
</cp:coreProperties>
</file>

<file path=docProps/custom.xml><?xml version="1.0" encoding="utf-8"?>
<Properties xmlns="http://schemas.openxmlformats.org/officeDocument/2006/custom-properties" xmlns:vt="http://schemas.openxmlformats.org/officeDocument/2006/docPropsVTypes"/>
</file>