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/>
    <w:p>
      <w:r>
        <w:t xml:space="preserve">ART. 47 DA LEI 9.636 DE 15-05-1998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10.852, DE 29 DE MARÇO DE 2004 Altera o art. 47 da Lei nº 9.636, de 15 de maio de 1998. Faço saber que o Presidente da República adotou a Medida Provisória nº 152, de 2003, que o Congresso Nacional aprovou, e eu, José Sarney, Presidente da Mesa do Congresso Nacional, para os efeitos do disposto no art. 62 da Constituição Federal, com a redação dada pela Emenda Constitucional nº 32, combinado com o art. 12 da Resolução nº 1, de 2002-CN, promulgo a seguinte Lei: Art. 1º O caput do art. 47 da Lei nº 9.636, de 15 de maio de 1998, passa a vigorar com a seguinte redação: Art. 47. O crédito originado de receita patrimonial será submetido aos seguintes prazos: I - decadencial de dez anos para sua constituição, mediante lançamento; e II - prescricional de cinco anos para sua exigência, contados do lançamento." .......................................................(NR) Art. 2º Esta Lei entra em vigor na data da sua publicação, aplicando-se aos prazos em curso para constituição de créditos originários de receita patrimonial. Congresso Nacional, em 29 de março de 2004; 183º da Independência e 116º da República Senador JOSÉ SARNEY Presidente da Mesa do Congresso Nacional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2026-06-17T14:15:37.407Z</dcterms:created>
  <dcterms:modified xsi:type="dcterms:W3CDTF">2026-06-17T14:15:37.407Z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