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MICROEMPRESA</w:t>
      </w:r>
    </w:p>
    <w:p>
      <w:r>
        <w:rPr>
          <w:i/>
          <w:iCs/>
          <w:color w:val="666666"/>
        </w:rPr>
        <w:t xml:space="preserve">DECRETO 5.028 DE 31-03-2004</w:t>
      </w:r>
    </w:p>
    <w:p/>
    <w:p/>
    <w:p>
      <w:r>
        <w:t xml:space="preserve">APLICAÇÃO COM BASE NELA — INEXISTÊNCIA DE RESPALDO JURÍDICO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Sociedade Alphaville Residencial 09 é uma associação civil, de fins não lucrativos (artigo 16, I, do código Civil). Sua natureza é contratual (artigo 1.363, do Código Civil - VICENTE RÁO - O Direito e a Vida dos Direitos, 3ª edição, anotada e atualizada por OVÍDIO ROCHA BARROS SANDOVAL, vol. 2., pág. 686, Editora Revista dos Tribunais), abrangente de todos os moradores e consubstanciada no regimento interno (fls.), aprovado em assembléia geral. Configurado o contrato civil, que preserva direitos e impõe obrigações, tem, ele, o poder de estabelecer sanções àqueles que desvirtuam suas finalidades e atentem contra os direitos de outros integrantes da comunidade. O fundamento está na cláusula penal, prevista nos artigos 916 e segs. do Código Civil, cuja disciplina se ajusta à espécie. - Portanto, as multas aplicadas ao réu, em tese, encontram suporte não só regimental, como legal. Cabe anotar, que a associação de moradores não se confunde com o condomínio, cuja regência é diversa. Mas, ainda que não houvesse diferença, plenamente justificável, sempre pelo caráter contratual, a previsão de penalidades em razão de infrações às normas que disciplinam a existência individual no conjunto. - Em seguida, outra questão merece ser investigada, na perspectiva "iura novit cúria" ou "da mihi factum dabo tibi jus". De qualquer forma, o tema foi deduzido em contestação e permeia o recurso. Diz respeito a se os latidos dos cachorros do réu, fato gerador das reprimendas, se enquadram na cláusula 1.3 do regimento interno, na qual estatuído sobre ser tolerada a permanência de animais domésticos, devendo os proprietários mantê-los restritos a seus quintais e, quando a passeio, trazê-los contidos por guias adequadas. Em suma, o dispositivo trata das advertências (primeiro verbal e, depois, escrita) aos donos dos animais encontrados am abandono, culminando com a multa, sem prejuízo da entrega às autoridades competentes; e finaliza: "O mesmo ocorrerá com animais cuja presença seja considerada perigosa ou nociva à segurança e tranqüilidade dos demais moradores" (fl.). Na ótica da autora, os cães do réu, por latirem durante a noite, causariam o desassossego dos vizinhos e estaria justificada a multa. - Entretanto, esse fato pode ser incluído na norma interna em exame? Necessário, que essa norma receba interpretação lógica e, portanto, concernente e restritiva ao poder de controle do proprietário sobre seu animal. No contexto desse poder de controle, está mantê-lo no respectivo quintal, contê-lo com segurança e habilidade quando dos passeios, obstar que invada outras propriedades, providenciar que os locais, que ocupe, estejam limpos, evitando a propagação do mau cheiro, enfim tudo aquilo que dependa da atuação e do comando físico do proprietário. Na esfera do controle, porém, não está o impedir que produzam os sons naturais da espécie, por inviável e sobretudo antinatural fazê-lo. É da natureza dos cães latirem e não há como evitá-lo, a não ser por métodos drásticos, violentos e mesmo cruéis, a cuja prática o proprietário não pode ficar sujeito. - O correto, dentro do que normalmente acontece, é admitir-se como impossível, fisicamente, conter os latidos e, por essa razão, seria absurdo o argumento interpretativo, que inserisse tal conduta na cláusula 1.3. Caso admitida a inclusão, praticamente a generalidade dos moradores de todos os Alphavilles apreciam penalidades, porque possuem cachorros, que permanecem nos quintais e, naturalmente, como lhes é próprio, emitem latidos, mormente, no período noturno. A interpretação do mencionado dis positivo não pode conduzir à exigência de condição fisicamente impossível, porque como explicitado no art. 116 do Código Civil, essa condição tem-se por inexistente. Se inexiste, descabe que tenha repercussão no direito e seja considerada. Por tal motivo, inexistente a condição, que inobservada provocaria as multas, não há respaldo jurídico para que aplicadas e cobradas, resultando indevidas. - Pelo deduzido, dou provimento e julgo improcedente a demanda, com inversão do ônus da sucumbência. Ac. de 11-02-1999 (Reg. nº 00119623) Arquivo do EMFOR, TJSP/N 5943 EMENTÁRIO FORENSE. Abril, 2004. Ano LVI. Nº 665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condições fisicamente impossíveis, bem como as de não fazer coisa impossível, tem-se por inexistente. As juridicamente impossíveis invalidam os atos a elas subordinados. Desta forma, inexistente a condição, que inobservada provocaria as multas, não há respaldo jurídico para sua aplicação e cobrança.(Ementa do EMFOR)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2026-06-17T16:36:20.098Z</dcterms:created>
  <dcterms:modified xsi:type="dcterms:W3CDTF">2026-06-17T16:36:20.098Z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