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Recurso: </w:t>
      </w:r>
      <w:r>
        <w:t xml:space="preserve">RE 50.046</w:t>
      </w:r>
    </w:p>
    <w:p/>
    <w:p>
      <w:r>
        <w:t xml:space="preserve">OFENSA A LITERAL DISPOSIÇÃO DE LEI — TEXTO
LEGAL DE INTERPRETAÇÃO CONTROVERTIDA - INADMISSIBILIDADE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cabe ação rescisória por ofensa a literal disposição de lei, quando a decisão rescindenda se tiver baseado em texto legal de interpretação controvertida nos tribunais. Referência: - Código de Processo Civil, art. 798, I, e. EAR 602, de 22.11.63 RE 50.046, de 05.04.63 RE 41.407, de 04.08.59 (R.T.J. 10/570) AR 537, de 14.08.61 Aprovada em Sessão de 13-12-1963 - pág. 150 EMFOR Nº 196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2026-09-11T06:16:26.226Z</dcterms:created>
  <dcterms:modified xsi:type="dcterms:W3CDTF">2026-09-11T06:16:26.226Z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