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TUTELA ANTECIPADA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Relator: </w:t>
      </w:r>
      <w:r>
        <w:t xml:space="preserve">Federal RICARDO REGUEIRA AGRAVO DE INSTRUMENTO</w:t>
      </w:r>
    </w:p>
    <w:p/>
    <w:p>
      <w:r>
        <w:t xml:space="preserve">SUPERVENIÊNCIA DE INTERPRETAÇÃO JUDICIAL NÃO DESFAZ COISA JULGADA — AUSÊNCIA DE PODER AO JUIZ PARA REVER CRITÉRIOS JÁ CONSAGRADOS NA SENTENÇA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1ª Turma Agravo de Instrumento Processo: 2000.02.01.057246-2 Publicação: DJ de 23/10/2001 - pág. 199/200 Relator: Desembargador Federal RICARDO REGUEIRA AGRAVO DE INSTRUMENTO. SUPERVENIÊNCIA DE INTERPRETAÇÃO JUDICIAL NÃO DESFAZ COISA JULGADA. AUSÊNCIA DE PODER AO JUIZ PARA REVER CRITÉRIOS JÁ CONSAGRADOS NA SENTENÇA. - A superveniência de interpretação judicial sobre a não aplicabilidade do art. 202, da Constituição Federal de 1988, não desfaz coisa julgada, nem tampouco constitui erro material suscetível de revisão quando da execução da sentença. - Não é possível ao juiz rever critérios já consagrados na sentença, por absoluta falta de poder para tal revisão. - Agravo de instrumento a que se dá provimento (POR UNANIMIDADE, DEU-SE PROVIMENTO AO RECURSO) SUPERVENIÊNCIA DE INTERPRETAÇÃO JUDICIAL NÃO DESFAZ COISA JULGADA Após o trânsito em julgado de sentença que julgou procedente o pedido de revisão de benefício previdenciário, decisão judicial suspendeu a emissão de precatório. Ao fundamentar seu voto, o Des. Fed. Ricardo Regueira enfatizou que a superveniência de interpretação judicial, sobre a não aplicabilidade do art. 202 da Constituição vigente, não desfaz coisa julgada nem constitui erro material suscetível quando da execução da sentença. E, acrescentou o Relator: "Não é possível, por tais razões, a suspensão de precatório, até por que não é igualmente possível ao juiz rever critérios já consagrados na sentença, por absoluta falta de poder para revisão. Acaso pretendesse a autarquia previdenciária a modificação do julgado, que utilizasse os mecanismo jurídicos de seu conhecimento, certamente, para o juízo que deve saber também competente, nunca com a atribuição de erro material à questão que demanda interpretação jurídica." Não foi localizado na pesquisa de jurisprudência acórdão semelhante.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2026-10-26T04:36:09.843Z</dcterms:created>
  <dcterms:modified xsi:type="dcterms:W3CDTF">2026-10-26T04:36:09.843Z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