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NULIDADE DE SENTENÇA — FASE DE INSTRUÇÃO - ESPECIFICAÇÃO DE PROVAS - FALTAS DE OPORTUNIDADE - CERCEAMENTO DE DEFESA</w:t>
      </w:r>
    </w:p>
    <w:p/>
    <w:p>
      <w:pPr>
        <w:pStyle w:val="Heading2"/>
      </w:pPr>
      <w:r>
        <w:rPr>
          <w:b/>
          <w:bCs/>
        </w:rPr>
        <w:t xml:space="preserve">Ementa</w:t>
      </w:r>
    </w:p>
    <w:p>
      <w:r>
        <w:t xml:space="preserve">3ª TURMA Apelação Cível Processo: 97.02.09600-6 Publ. no DJ de 13/11/2001 Assunto: Nulidade de Sentença - Especificação de Provas - Cerceamento de Defesa. Relator: Des. Fed. FREDERICO GUEIROS PREVIDENCIÁRIO - PROCESSUAL CIVIL - NULIDADE DE SENTENÇA - FASE DE INSTRUÇÃO - ESPECIFICAÇÃO DE PROVAS - FALTAS DE OPORTUNIDADE - CERCEAMENTO DE DEFESA. 1. Deve ser anulada a sentença que teve como fundamento a sustentação de que caberia à parte Autora demonstrar qualquer erro no ato concessório, sem, no entanto, proceder à sua intimação para, em tempo hábil, trazer os documentos necessários à prova do alegado. 2. Apelação provida parcialmente. 3. Sentença anulada, devendo os autos retornarem à Vara de origem, para que outra seja proferida, cabendo ao Douto Julgador de 1ª Instância, antes, porém, ordenar o prosseguimento da instrução, com a conseqüente intimação das partes para especificação das provas. Companheira de segurado da Previdência Social apelou contra sentença do Juiz Federal da 15ª Vara que rejeitou o pedido de revisão do cálculo da Renda Mensal Inicial da aposentadoria de seu companheiro, bem como de sua pensão concedida em 15/09/94. Ao apresentar sua decisão, o Magistrado sustenta que a autora deveria demonstrar o erro ocorrido na concessão do benefício previdenciário, mas não a intimou para que apresentasse os documentários necessários à comprovação da sua alegação. A existência desse vício processual foi detectada pelo membro do Ministério Público em seu parecer. Com a caracterização do cerceamento da defesa, a Terceira Turma, por unanimidade, determinou a anulação da sentença, para que na Vara Federal originária sejam as partes intimadas para especificação das provas. Não foi localizada na pesquisa de jurisprudência caso assemelhado.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2026-07-28T00:10:44.869Z</dcterms:created>
  <dcterms:modified xsi:type="dcterms:W3CDTF">2026-07-28T00:10:44.869Z</dcterms:modified>
</cp:coreProperties>
</file>

<file path=docProps/custom.xml><?xml version="1.0" encoding="utf-8"?>
<Properties xmlns="http://schemas.openxmlformats.org/officeDocument/2006/custom-properties" xmlns:vt="http://schemas.openxmlformats.org/officeDocument/2006/docPropsVTypes"/>
</file>