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Relator: </w:t>
      </w:r>
      <w:r>
        <w:t xml:space="preserve">Federal Julieta Lídia Lunz ADMINISTRATIVO</w:t>
      </w:r>
    </w:p>
    <w:p/>
    <w:p>
      <w:r>
        <w:t xml:space="preserve">GRATIFICAÇÃO PROVISÓRIA — LEI 9.651/98 - DESTINAÇÃO ESPECÍFICA - SUPRIR A DEFENSORIA PÚBLICA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em Mandado de Segurança Processo: 2000.02.01.022455-1 Publicação: DJ de 24/07/2001, pág. 12 Relator: Desembargadora Federal Julieta Lídia Lunz ADMINISTRATIVO - GRATIFICAÇÃO PROVISÓRIA - LEI 9.651/98 - DESTINAÇÃO ESPECÍFICA - SUPRIR A DEFENSORIA PÚBLICA FEDERAL. I - A Lei 9.651/98 tem a especificidade de suprir a representação das entidades autárquicas e fundações enquanto não criados e providos os cargos de defensores públicos da União. II - A faculdade do deferimento de Gratificação não impõe a obrigação quanto a isto para que se defira a extensão da gratificação a outros setores da Administração Pública Federal. (POR UNANIMIDADE, FOI DADO PROVIMENTO AOS RECURSOS E À REMESSA NECESSÁRIA) GRATIFICAÇÃO PROVISÓRIA - DESTINAÇÃO ESPECÍFICA Decidiu a 1ª Turma, por unanimidade, nos termos do voto da Desembargadora Federal Julieta Lídia Lunz, dar provimento aos recursos da União Federal e do Incra em face da decisão que estendeu aos servidores do último a Gratificação Provisória de que trata a Lei 9.651/98, entendendo que o artigo 13 da referida lei não instituiu um direito do servidor e sim a faculdade da Administração em suprir a deficiência de seu quadro de defensores, não caracterizando reposição de vencimentos ou acúmulo de verbas respectivas, tendo caráter temporário e destinando-se a situação específica a específicos destinatários. O artigo 13, parágrafo único, da Lei 9.651/98, instituiu a Gratificação Provisória aos ocupantes de cargos efetivos de Procurador e Advogado de Autarquia e Fundações Públicas Federais; de Assistentes Jurídicos não transpostos para a carreira da Advocacia-Geral da União, na forma do disposto no inciso I do artigo 19 da Lei 9.028, de 1995, e da Carreira de Defensor Público da União Federal. A 4ª Turma decidiu da mesma forma na AC nº 1999.02.01.059919-0, decisão de 06/09/2000, DJU 06/02/2001.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2026-10-26T02:35:33.793Z</dcterms:created>
  <dcterms:modified xsi:type="dcterms:W3CDTF">2026-10-26T02:35:33.793Z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