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EXAURIMENTO DA VIA ADMINISTRATIVA</w:t>
      </w:r>
    </w:p>
    <w:p/>
    <w:p/>
    <w:p>
      <w:r>
        <w:t xml:space="preserve">PIS/PASEP — MUNICÍPIO - INEXIGIBILIDADE - AUTONOMIA DO ENTE FEDERADO - PRINCÍPIO CONSTITUCIONAL - VIOLAÇÃO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DOUTOR JUIZ FEDERAL DA .....ª VARA DA CIRCUNSCRIÇÃO JUDICIÁRIA DE ........... - SEÇÃO DO ESTADO DO ....... AUTOS N.º.............. MUNICÍPIO DE ........................, devidamente qualificado nos autos em epígrafe - Ação Declaratória de Inexigibilidade de Tributo c/c Repetição de Indébito e Pedido de Tutela Antecipada promovida contra a UNIÃO FEDERAL -, por intermédio de seu procurador abaixo assinado, vem com o devido respeito e acatamento diante de V. Exa., em atenção ao r. despacho de fls., apresentar CONTRA-RAZÕES de Recurso de Apelação, a fim de que sejam recebidas e, cumpridas as formalidades de estilo, encaminhadas ao Egrégio Tribunal Regional Federal da ....ª Região, mantendo-se a r. sentença impugnada pelos seus próprios e bem postos fundamentos. N. Termos, P. Deferimento. ..........., ..... de ..... de ...... ................ Advogado EXCELENTÍSSIMOS DOUTORES JUÍZES DO EGRÉGIO TRIBUNAL REGIONAL FEDERAL - ....ª REGIÃO. AÇÃO DECLARATÓRIA N.º ............... ORIGEM: ....ª VARA FEDERAL DE ........... - SEÇÃO JUDICIÁRIA DO .............. APELANTE: UNIÃO FEDERAL APELADO: MUNICÍPIO DE ........................ - ESTADO DO .............. Colenda Turma Preclaros Juízes: MUNICÍPIO DE ........................, por intermédio de seu procurador abaixo assinado, vem com o devido respeito e acatamento diante de Vossas Excelências, apresentar C O N T R A - R A Z Õ E S ao Recurso de Apelação interposto pela UNIÃO FEDERAL, aduzindo, para tanto, as seguintes razões de fato e de direito: 1. Inconformada, a Fazenda Pública interpõe recurso, aduzindo basicamente que o PASEP (Programa de Formação do Patrimônio do Servidor Público) foi recepcionado pelo artigo 239 da vigente Constituição, no intuito de garantir a continuidade da arrecadação da contribuição, não devendo o Município abster-se da solidariedade e desenvolvimento nacional em busca de sua autonomia política. Fundamenta esse entendime nto no fato do artigo 21, IX da Carta Magna ter reconhecido exclusividade da competência federal para a elaboração de planos de desenvolvimento econômico e social. Ainda, considera irrelevante o fato de a própria Constituição Federal ter facultado aos Estados, Distrito Federal e Municípios, a instituição e cobrança de sistemas de previdência e assistência social. 2. Improcedem os argumentos da Apelante. Basta a simples leitura do mencionado artigo 239 da Constituição para que se constate tal assertiva. Prescreve o caput do dispositivo: "Art. 239. A arrecadação decorrente das contribuições para o Programa de Integração Social, criado pela Lei Complementar n.º 7, de 7 setembro de 1970, e para o Programa de Formação do Patrimônio do Servidor Público, criado pela Lei Complementar n.º 8, ed 3 de dezembro de 1970, passa, a partir da promulgação desta Constituição, a financiar, nos termos que a lei dispuser, o programa de seguro-desemprego e o abono que trata o § 3º deste artigo (grifos nossos). Como se vê do trecho em destaque, cabe à legislação infraconstitucional regulamentar a arrecadação do PASEP, assim como a sua aplicação nos diversos programas sociais, como no seguro-desemprego e no abono (CF - art. 239, § 3º). A norma constitucional não faz referência - e nem poderia fazer, tendo em vista o princípio da autonomia do ente Federado - à qualquer pessoa de direito público interno como destinatária do comando nela insculpido. 3. Ademais, lei infraconstitucional disciplinado a matéria já existe. É a número 7.998, de 11 de janeiro de 1990, que em nenhum momento alude às contribuições dos Estados, Municípios e suas autarquias. 4. Portanto, inexiste no ordenamento jurídico, seja no plano constitucional, seja no infraconstitucional, norma que obrigue os entes Federados a contribuir para o PASEP, senão em virtude de lei, promulgada pelo órgão legislativo competente, que disponha neste sentido. 5. Aliás, o artigo 29 da Constituição Federal, i nvocado pela Apelante, tão somente confirma a procedência da pretensão inicial, pois quando o dispositivo acima determina a observância pela lei orgânica municipal dos princípios estabelecidos na Lei Maior, remete - no caso específico - aos princípios da autonomia do ente federado, da imunidade tributária recíproca e da legalidade, os quais encontram ressonância no artigo 149, parágrafo único. Nesta norma o legislador objetivou desvincular do sistema de previdência comum, a previdência e a assistência social dos servidores estaduais e municipais, através de sistemas autônomos, custeados pela cont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2026-10-26T04:34:01.903Z</dcterms:created>
  <dcterms:modified xsi:type="dcterms:W3CDTF">2026-10-26T04:34:01.903Z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