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TAXA JUDICIÁRIA</w:t>
      </w:r>
    </w:p>
    <w:p/>
    <w:p/>
    <w:p>
      <w:r>
        <w:t xml:space="preserve">IMPORTAÇÃO — IMPOSSIBILIDADE - AUSÊNCIA DE DOCUMENTAÇÃO - MERCADORIA RETIDA - VACATIO LEGIS - VIGÊNCIA DA LEI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ILMO. SR. INSPETOR DA RECEITA FEDERAL DO ..... ...., inscrita no CGC/MF sob o nº ...., por seu representante legal, vem, com relação à exigência feita para o desembaraço aduaneiro das mercadorias importadas sob a licença de nº ...., expor ao final requerer: A requerente em .../.../..., com o intuito de importar mercadorias, solicitou junto à agência do Banco .... na Cidade de ...., credenciada para exame de documentação, a Licença de Importação que trata o regulamento aduaneiro. Em .../.../..., recebeu a licença de importação, não lhe tendo sido feita qualquer exigência a ser suprida, ou solicitação de documentos. Em .../.../..., foi requerido o processamento do desembaraço da mercadoria, tendo sido pago o imposto de importação devido, no valor de R$ .... No dia .... de .... de ...., a empresa foi intimada através de seu representante legal para cumprir o disposto no artigo 3º da Portaria Secex nº 06/97. Tal disposição determina seja para o desembaraço da mercadoria importada apresentado o documento denominado LICENÇA DE EXPORTAÇÃO. O documento solicitado, segundo a própria portaria é de emissão das autoridades competentes da República Popular da China. (Instruções de conferência, nº 1 do item II da portaria), sendo indispensável para o deferimento da autorização de licenciamento de importação . O artigo 5º determina: "Art. 5º - A Secretaria de Comércio Exterior autorizará o licenciamento da importação para produtos originários da República Popular da China. sujeitos às restrições quantitativas, SOMENTE quando amparados em Licenças de Exportação, emitidas em conformidade com o disposto no Anexo B." No momento a concessão da autorização de importação, entretanto, não foi exigido a LICENÇA DE EXPORTAÇÃO. Em verdade, a Requerente só tomou conhecimento da necessidade tal documento no momento do desembaraço. A emissão da Licença de Importação por parte da SECRETÁRIA DE COMÉRCIO EXTERIOR sem qualquer outra levou a Requ erente a celebrar contrato no valor de US .... Assim, considerado que a falta do documento é resultado de erro cometido pela própria Secretaria de Comércio Exterir, que não poderia ter concedido a autorização para importação sem a licença para exportação, não pode a requerente ser penalizada. É cediço que ninguém se escusa de cumprir a Lei alegado seu desconhecimento. Porém, no presente caso, desconhecimento partiu da própria autoridade competente, induzindo a erro a Requerente, que desconhecia a necessidade da apresentação de outro documento que não a própria licença de importação. De outro lado, não se pode considerar a portaria, a qual se pretende fazer cumprir, como norma legal, válida e eficaz, para exigir comportamento da Requerente. O artigo 7º dispões: "Esta portaria entra em vigor em 1º de julho de 1997." Todavia, a publicação só ocorreu em 03/07/97, assim sendo tal artigo não tem qualquer validade, e a Portaria só entrou em vigor 45 dias após a publicação. (artigo 1º do Decreto-Lei 4.657/42 - Lei de Introdução ao Código Civil). A este respeito, PAULO DE BARROS CARVALHO, em sua obra Curso de Direito Tributário, discorre: "O rigor das leis, no tempo, está sob a diretriz genérica fixada pelo art. 1º da Lei de introdução ao Código Civil (Decreto-Lei nº 4.657/42). E é precisamente esse conteúdo do art.101 do Código Tributário Nacional, ao firmar que a vigência da legislação tributária Nacional, ao firmar que a vigência da legislação tributária rege-se pelas disposições legais aplicáveis às normas jurídicas em geral, ressalvando o previsto neste capítulo. Sendo assim, as normas tributárias entram em vigor, salvo disposição em contrário, quarenta e cinco dias após haverem sido publicadas." Indiscutível, portanto, que a Portaria nº 6/97, publicada em 03/07/97, só entrou em 45 dias após a publicação, ou seja em 17/08/97, quando já havia sido solicitada a concedida a LI. Portanto, de qualquer ângulo que se analise a ques tão, fica claro que a Requerente não pode sofrer qualquer tipo de sanção, que aliás, nem é prevista na Portaria. Se se admitir, "ad argumentandum", que a Portaria era eficaz em .../.../..., data do pedido de Licença de Exportação a torna inexigível também no momento do desembaraço. Como demonstrado antes, por ter a Portaria entrado em vigor somente em 17/08/97, não pode ser exigida da Requerente a apresentação da Licença de Exportação, por faltar norma válida e eficaz para tanto. Pelo exposto, requer a Vossa Senhoria, seja ordenado o processamento do desembaraço aduaneiro, sem o cumprimento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2026-06-17T14:14:58.900Z</dcterms:created>
  <dcterms:modified xsi:type="dcterms:W3CDTF">2026-06-17T14:14:58.900Z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