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INSTITUIÇÃO FINANCEIRA</w:t>
      </w:r>
    </w:p>
    <w:p>
      <w:r>
        <w:rPr>
          <w:i/>
          <w:iCs/>
          <w:color w:val="666666"/>
        </w:rPr>
        <w:t xml:space="preserve">CÓDIGO DE DEFESA DO CONSUMIDOR</w:t>
      </w:r>
    </w:p>
    <w:p/>
    <w:p>
      <w:r>
        <w:rPr>
          <w:b/>
          <w:bCs/>
        </w:rPr>
        <w:t xml:space="preserve">Recurso: </w:t>
      </w:r>
      <w:r>
        <w:t xml:space="preserve">MS 2.</w:t>
      </w:r>
    </w:p>
    <w:p/>
    <w:p>
      <w:r>
        <w:t xml:space="preserve">INCONSTITUCIONALIDADE — SUBSTITUIÇÃO TRIBUTÁRIA - ICMS - REVENDEDORA DE VEÍCULO - PEDIDO DE TRANSFERÊNCIA - PEDIDO REJEITADO - PRINCÍPIO DA NÃO-CUMULATIVIDADE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DA FAZENDA PÚBLICA, FALÊNCIAS E CONCORDATAS DA COMARCA DE .... ...., pessoa jurídica de direito privado, com sede em ...., na Rua .... nº ...., inscrita no CGC/MF sob n º ...., por seu procurador que esta subscreve, advogado inscrito na OAB/... nº ...., e com escritório na Rua .... nº ...., vêm, respeitosamente, à presença de Vossa Excelência apresentar AÇÃO DECLARATÓRIA DE INEXISTÊNCIA DE RELAÇÃO JURÍDICA com Pedido de Antecipação dos Efeitos da Tutela Pretendida, contra o ...., o que faz com fundamento no disposto pelo artigo 4º, inciso I, e artigo 273, ambos do Código de Processo Civil, além das razões de fato e de direito que passa a expor: DOS FATOS 1. A requerente é empresa comercial que atua na área de revenda de veículos novos, portanto, sujeita-se ao regime da denominada substituição tributária no recolhimento do Imposto sobre Circulação de Mercadorias e Serviços - ICMS. 2. A montadora da qual a requerente é revendedora, ao faturar as suas cotas mensais de veículos, utiliza-se, de seu preço de tabela para a revenda como base de cálculo, para a retenção do ICMS pela substituição tributária. 3. A requerente dando cumprimento à legislação pertinente à matéria, mantém em sua contabilidade Livro de Apuração do ICMS, no qual são lançadas todas as operações sujeitas a esta exação, inclusive aquelas submetidas ao supra citado regime da substituição tributária. 4. Ocorre, porém, que a requerente, desde a primeira implantação do regime da substituição tributária, vem sendo impedida pelo requerido de proceder ao creditamento da diferença existente entre o valor base adotado pelo substituto tributário (montadora) para o cálculo do ICMS e o valor real de venda do veículo, que no mais das vezes é inferior àquele. Desta forma, o fabricante de veículos (substituto) utiliza-se de base de cálculo fictícia para a retenção do ICMS, sendo que, somente quando da revenda do veículo é que se pode rá chegar à verdadeira base de cálculo daquela exação. Sendo aquela maior do que esta, caberá à Requerente creditar-se da respectiva diferença; ao contrário, sendo esta maior do que aquela, caberá ao requerido exigir a complementação do recolhimento do ICMS. 5. A requerente, em razão do princípio da não-cumulatividade que informa o ICMS, através do disposto no artigo 155, parágrafo 2º, I, da Constituição Federal, procurou o requerido na expectativa de transferir, conforme autorizado pela legislação de regência do ICMS em nosso Estado, os créditos da diferença em pauta, devidamente apurados e planilhados, para seus fornecedores, mais precisamente para a montadora de veículos. Veja-se, por oportuno, o que dispõe o artigo 51 do Decreto nº 1.966/92: "Art. 51. É permitida a transferência de créditos relativos às operações anteriores, acumulados em conta gráfica em decorrência de: I - saídas: (omissis) Parágrafo 1º. O crédito poderá ser transferido, em uma ou mais modalidade, para: (omissis) c) estabelecimento de fornecedor, a título de pagamento, de mercadorias, matérias-primas, materiais intermediários, secundários ou de embalagens e de bens destinados ao ativo fixo, exclusive veículos, exceto os de carga, com capacidade igual ou superior a quatro toneladas, até o limite de quarenta por cento do valor total das entradas de mercadorias ocorridas no mês anterior ao da transferência; (omissis) Parágrafo 3º. Independente dos requisitos contidos nos incisos I a III deste artigo, os créditos acumulados por contribuintes sujeitos ao regime de substituição tributária na condição de substituídos poderão ser transferidos ao contribuinte substituto a título de pagamento da aquisição de mercadorias." O artigo 52, por sua vez, estabelece os requisitos técnicos para a emissão da Nota Fiscal de transferência. Já o artigo 53 prevê a única condição exigida por lei para a concretização da transferência de créditos sob análise, da seguinte forma: "Art. 53. Previamente à entrega ao destinatário, o contribuinte deverá apresentar na Inspetoria Regional de Fiscalização na Delegacia de sua jurisdição, para serem visadas, a primeira e a segunda via da Nota Fiscal a que se refere o artigo anterior, acompanhada da cópia da GIA/ICMS do mês anterior ao da transferência ou de demonstrativo da conta gráfica do período quando se tratar da hipótese prevista no parágrafo 8º do artigo 51, que terão a seguinte destinação: I - a primeira via será devolvida ao contribuinte e destinar-se-á à escrituração do crédito pelo destinatário; II -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2026-09-10T22:20:51.484Z</dcterms:created>
  <dcterms:modified xsi:type="dcterms:W3CDTF">2026-09-10T22:20:51.484Z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