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REINTEGRAÇÃO DE POSSE</w:t>
      </w:r>
    </w:p>
    <w:p>
      <w:r>
        <w:rPr>
          <w:i/>
          <w:iCs/>
          <w:color w:val="666666"/>
        </w:rPr>
        <w:t xml:space="preserve">USO DO IMÓVEL PELA CONCUBINA</w:t>
      </w:r>
    </w:p>
    <w:p/>
    <w:p>
      <w:r>
        <w:rPr>
          <w:b/>
          <w:bCs/>
        </w:rPr>
        <w:t xml:space="preserve">Relator: </w:t>
      </w:r>
      <w:r>
        <w:t xml:space="preserve">MARINO FALCÃO</w:t>
      </w:r>
    </w:p>
    <w:p/>
    <w:p>
      <w:r>
        <w:t xml:space="preserve">SE A NOVA CONSTITUIÇÃO O ERIGIU A CONDIÇÃO DE FAMÍLIA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convencem os argumentos do recorrente no sentido de se negar competência ao Juízo da Vara de Família. - O concubinato, sendo uma união estável entre o homem e a mulher, é hoje reconhecido, pela constituição Federal, como entidade familiar (CF art. 226, parágrafo 3º). E, assim sendo, deve ser tratado com os mesmos princípios do direito de família. - O concubinato, pois, consoante bem assinalado no parecer da ilustre representante do Ministério Público de 1º grau, deixou de ser encarado como sociedade com cunho contratual, passando a ter conotação familiar, adquirindo características de entidade familiar. - Ademais disso, a ação proposta busca, além da dissolução da sociedade de fato, pensão alimentícia em favor dos filhos menores, reconhecidos pelo pai, ora agravante. Ac. de 06-06-1990 Arquivo do EMFOR - TJ/2.221 NO SENTIDO CONTRÁRIO: Confl. Comp. 10.030-0 TJSP - C.E., Relator. Desembargador MARINO FALCÃO, ac. de 8-6-89, in "EMFOR", Nº 514. EMFOR 522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concubinato, sendo uma união estável entre o homem e a mulher, é hoje reconhecido, pela Constituição Federal, como entidade familiar. E, assim sendo, deve ser tratado com os mesmos princípios do direito de família.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2026-10-26T06:58:41.012Z</dcterms:created>
  <dcterms:modified xsi:type="dcterms:W3CDTF">2026-10-26T06:58:41.012Z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