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RESCISÃO DE CONTRATO</w:t>
      </w:r>
    </w:p>
    <w:p/>
    <w:p/>
    <w:p>
      <w:r>
        <w:t xml:space="preserve">GUARDA DE MENOR — BUSCA E APREENSÃO - ART. 249/CPC - ART. 329/CC - ART. 1.588/NCC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DE INFÂNCIA E JUVENTUDE DA COMARCA DE ... ... (qualificação), portadora da Cédula de Identidade/RG nº ..., residente e domiciliada na Cidade de ..., na Rua ... nº ..., por seu procurador (doc. anexo), vem muito respeitosamente à presença de V. Exa., para requerer BUSCA E APREENSÃO DE MENOR, nos termos da Legislação vigente, em face de: ... e ... ambos residentes e domiciliados em ..., na Rua ... nº ..., pelo que expõe e requer: A requerente, quando da Separação Judicial Consensual homologada por Este E. Juízo em ..., processo nº ..., ficou com a guarda dos menores ..., ... e ..., conforme faz prova doc. inclusos. Ocorre porém, após ... (...) ano de total abandono pelos mesmos, apareceu a Sra. ..., tia e irmã do Sr. ... (pai dos menores) no último dia ..., alegando estar com saudades dos sobrinhos, e que queria levá-los para ficar em sua casa em ... por uns dias e que entregaria os menores à casa da requerente no dia ... Para sua surpresa, a Requerente recebeu um telefonema, nesse mesmo dia, de seu ex-marido, fazendo ameaças, ou dizendo que não devolveria os menores, "que se quisesse as crianças que fosse buscá-las com os homens". Ora, independentemente do crime perpetrado pelos requeridos, capitulado no art. 249 do Código Penal, as crianças, acostumadas com a mãe, apegadas a ela por natural afeto, poderão sofrer graves danos e mesmo traumas irreparáveis, na nova situação. Por outro lado, é a própria lei que estabelece, por isso mesmo, o princípio de que os filhos menores ficarão em poder da mãe (arts. 329, 248-I e 393, CC e Lei 6.515/77). Ante o exposto, se faz presente para requerer se digne V. Exa. de determinar seja expedida uma precatória itinerária para o endereço oferecido no preâmbulo, bem como seja lhe expedido, em caráter liminar, o competente mandado de busca e apreensão dos referidos menores. E, após, sejam citados os Requeridos. Requer-se ainda seja ouvido o Ministério P úblico, através de seu representante legal. Protesta-se por todos os meios de provas em direito permitidos, especialmente pelo depoimento pessoal dos requeridos, sob pena de confesso e revelia, esperando-se seja o presente pedido acolhido, condenado-se o requerido nas custas do processo e honorários advocatícios, que forem arbitrados por V. Exa. Dando-se à causa o valor de R$ ... (...). Termos em que, com os documentos juntos, P. e E.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2026-06-17T16:54:09.983Z</dcterms:created>
  <dcterms:modified xsi:type="dcterms:W3CDTF">2026-06-17T16:54:09.983Z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