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REINTEGRAÇÃO DE POSSE</w:t>
      </w:r>
    </w:p>
    <w:p>
      <w:r>
        <w:rPr>
          <w:i/>
          <w:iCs/>
          <w:color w:val="666666"/>
        </w:rPr>
        <w:t xml:space="preserve">USO DO IMÓVEL PELA CONCUBINA</w:t>
      </w:r>
    </w:p>
    <w:p/>
    <w:p/>
    <w:p>
      <w:r>
        <w:t xml:space="preserve">COBERTURA — CONSTRUÇÃO - DEMOLIÇÃO DEFERIDA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Houve, efetivamente, construção em parte comum, o teto, com infração do art. 3º da Lei nº 4.591, de 16-12-64, que a considera insusceptível de utilização exclusiva por qualquer condômino. - A evidência, apenas a concordância de todos os condôminos poderia ensejar a utilização exclusiva, pela condômina, da parte comum. - O licenciamento da obra pela Prefeitura não é idôneo à suprir a discordância, tanto mais que, para realizá-la na parte comum, exige a autoridade administrativa a concordância unânime dos condôminos, nos termos do § 2º do art. 5º do Regulamento aprovado pelo Decreto "E" nº 3.800, de 20-4-70. - Afasta-se, outrossim, o argumento de que a deliberação da assembléia deve prevalecer até ser desconstituída. - A regra é válida quando a decisão é meramente anulável. Em sendo nula, porém (e ela o é porque vulnera norma legal cogente), o julgador , pode reconhecer a eiva e declarar sua nulidade. - Substituir-se a demolição pela indenização não é possível no âmbito judicial. - Nada impede que as partes venham a compor o conflito por essa forma, não parecendo "data venia", que o alvitre seja imoral. - Entretanto, as perdas e danos precisariam ter sido comprovados no processo de conhecimento e não o foram. Ac. de 13-05-1987 Arquivo do EMFOR, TJ/1.616 EMFOR 476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concluída, mercê da caução, a obra realizada na cobertura do edifício deve ser demolida, porque, levada e efeito em área comum, sem a autorização da unanimidade dos condôminos. (Ementa do EMENTÁRIO FORENSE).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2026-07-27T23:35:08.410Z</dcterms:created>
  <dcterms:modified xsi:type="dcterms:W3CDTF">2026-07-27T23:35:08.410Z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