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CLÁUSULA DE NÃO INDENIZAR</w:t>
      </w:r>
    </w:p>
    <w:p>
      <w:r>
        <w:rPr>
          <w:i/>
          <w:iCs/>
          <w:color w:val="666666"/>
        </w:rPr>
        <w:t xml:space="preserve">CONVENÇÃO DE CONDOMÍNIO</w:t>
      </w:r>
    </w:p>
    <w:p/>
    <w:p>
      <w:r>
        <w:rPr>
          <w:b/>
          <w:bCs/>
        </w:rPr>
        <w:t xml:space="preserve">Recurso: </w:t>
      </w:r>
      <w:r>
        <w:t xml:space="preserve">Apelação Cível 1.942/89</w:t>
      </w:r>
    </w:p>
    <w:p/>
    <w:p>
      <w:r>
        <w:t xml:space="preserve">CLÁUSULA DE NÃO INDENIZAR — SE PODE SER CONVENCIONADA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matéria suscita, sem dúvida, densa controvérsia. O direito brasileiro não prestigia as cláusulas de não indenizar, inadmitida sempre em matéria delitual. Como adverte AGUIAR DIAS, "seu domínio se restringe à responsabilidade contratual e nele mesmo sofre restrições". Prossegue o mestre da responsabilidade civil, "verbis": "Para saber da validade da cláusula de irresponsabilidade, o processo mais simples é investigar se a norma de direito comum que estabelece a responsabilidade e que por essa convenção ficará afastada atende a interesse de ordem pública ou é destinada a mera tutela do interesse individual. O direito que a lei confere tão-somente em contemplação do interesse privado pode ser afastado pela convenção de irresponsabilidade". - SÍLVIO RODRIGEUS adverte que a cláusula de não indenizar deve ser admitida com restrições, na linha do anteprojeto do Código de Obrigações de CAIO MÁRIO DA SILVA PEREIRA. Assim, a sua validade estaria subordinada à bilateralidade do consentimento: à inexistência de conflito com preceito cogente de lei, com a ordem pública e com os bons costumes; à impossibilidade de eximir o dolo do estipulante (cfr "Direito Civil", Saraiva, São Paulo, vol. IV, 7ª ed., 1983, págs. 196/197). - É com essa fronteira que deve ser enfrentada a questão sob exame. - O condomínio tem natureza jurídica especialíssima, anotando CAIO MÁRIO DA SILVA PEREIRA que "na propriedade horizontal a propriedade exclusiva assegura ao "dominus" um acervo de direitos subjetivos, que perderiam toda consistência se não houvesse simultaneamente o condomínio, uma vez que o exercício daquele, com a utilização da coisa, seria inviável, se não houvesse a propriedade conjunta de todos sobre as áreas de acesso" ("Condomínio e Incorporações", Forense, Rio, 1985, pág. 75). - O condomínio é constituído pela convenção, documento escrito, devidamente registrado. A convenção, com seu berço contratual é, de fato, lei entre os titulares das unidades, daí nascendo direitos que se incorporam ao patrimônio dos condôminos. A E. 5ª Câmara, relator o eminente Desembargador HUMBERTO MANES, assim decidiu na Apelação Cível nº 1.942/89, destacando o acórdão que "a convenção de condomínio é um ato regra que, como manifestação da autonomia privada, possui força vinculante. Essa obrigatoriedade do respeito às normas editadas pelos condôminos (Lei 4.591/64, artigo 9º, parágrafo 2º), faz com que os direitos subjetivos daí defluentes se incorporem ao patrimônio de cada titular de unidade". - De fato, para os condôminos não há qualquer restrição para que decidam convencionar a cláusula de não indenizar, eis que estão dispondo livremente no alcance do seu particular interesse, sem qualquer ofensa à ordem pública, aos bons costumes ou a preceito cogente de lei. A cláusula de não indenizar vincula os condôminos. - Desse modo, não demonstrado o dolo, capaz de sobrepor-se à cláusula de não indenizar, o apelante não tem qualquer direito, eis que a subrogação invocada em nada lhe aproveita. - A orientação desta Corte é no mesmo sentido, como decidido na Apelação Cível nº 2.050/89, relator o eminente Desembargador N. DORESTE BAPTISTA, com a seguinte ementa, "verbis": "Condomínio. Furto de objetos que se encontravam no interior do veículo guardado na garagem do edifício. Cláusula de não-indenizar aprovada previamente por assembléia. Validez". - Merece, pois, mantida a r. sentença recorrida. Ac. de 05-12-1989 Arquivo do EMFOR - TJ/2.047 EMFOR 502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Para os condôminos não há qualquer restrição para que decidam convencionar a cláusula de não indenizar, eis que estão dispondo livremente no alcance do seu particular interesse, sem qualquer ofensa à ordem pública, aos bons costumes ou a preceito cogente de lei.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2026-09-11T00:08:52.235Z</dcterms:created>
  <dcterms:modified xsi:type="dcterms:W3CDTF">2026-09-11T00:08:52.235Z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