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REVISTAS E JORNAIS</w:t>
      </w:r>
    </w:p>
    <w:p/>
    <w:p>
      <w:r>
        <w:rPr>
          <w:b/>
          <w:bCs/>
        </w:rPr>
        <w:t xml:space="preserve">Recurso: </w:t>
      </w:r>
      <w:r>
        <w:t xml:space="preserve">Recurso Especial 254.315</w:t>
      </w:r>
    </w:p>
    <w:p>
      <w:r>
        <w:rPr>
          <w:b/>
          <w:bCs/>
        </w:rPr>
        <w:t xml:space="preserve">Relator: </w:t>
      </w:r>
      <w:r>
        <w:t xml:space="preserve">Ausentes</w:t>
      </w:r>
    </w:p>
    <w:p/>
    <w:p>
      <w:r>
        <w:t xml:space="preserve">PROCESSO CIVIL — EXCEÇÃO DE PRÉ-EXECUTIVIDADE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nº 254.315 - RJ (2000/0032918 - 5) EMENTA Processo civil. Exceção de pré-executividade. Se o thema decidendum diz respeito à ilegitimidade passiva de um dos executados, (que se inclui entre as condições da ação), e pode ser decidido à vista do título, a exceção de pré-executividade deve ser processada. Recurso especial conhecido e provido. ACÓRDÃO Vistos, relatados e discutidos estes autos, acordam os Ministros da Terceira Turma do Superior Tribunal de Justiça, por unanimidade, conhecer do recurso especial e lhe dar provimento. Os Srs. Ministros CARLOS ALBERTO MENEZES DIREITO e CASTRO FILHO votaram com o Sr. Ministro Relator. Ausentes, ocasionalmente, os Srs. Ministros NANCY ANDRIGHI e ANTÔNIO DE PÁDUA RIBEIRO. Brasília, 08 de abril de 2002 (data do julgamento). Ministro ARI PARGENDLER - Presidente e Relator RELATÓRIO Exmo. Sr. Ministro ARI PARGENDLER (Relator): João Luiz Guimarães Ferreira propôs ação de execução contra Wilson de Souza Pinto Filho e Ana Mary Santos (f. 40/43). Wilson de Souza Pinto Filho opôs exceção de pré-executividade alegando a sua ilegitimidade passiva ad causam (f. 28/37), que deixou de ser acolhida pelo MM. Juiz de Direito Dr. PAULO WAGNER G. PENA à base dos seguintes fundamentos: "Trata-se de processo de execução por título extrajudicial onde a defesa do devedor somente se admite através dos meios próprios. As partes estão transformando a execução em processo de conhecimento, o que não é admissível. Assim, chamo o feito à ordem, para desconsiderar as defesas até agora promovidas. Indique o exeqüente os bens a serem penhorados, tendo em vista que os executados regularmente citados não o fizeram, nem pagaram o débito" (f. 22). Seguiu-se agravo de instrumento, ao qual a Egrégia Décima Quinta Câmara Cível do Tribunal de Justiça do Estado do Rio de Janeiro, Relatora a eminente Desembargadora MARIA COLLARES FELIPE, negou provimento, nos termos do acórdão assim ementado : "Agravo. Execução por título extrajudicial. Exceção de pré-executividade. Descabimento. As matérias suscetíveis de exceção de pré-executividade não são as que compõem as 'causae petendi' dos embargos e descabe a exceção se a matéria há de ser deduzida consoante previsão do art. 736 da Lei de Ritos. Agravo não provido" (f. 67). Opostos embargos de declaração (f. 74/76), foram rejeitados (f. 78/79). Daí o presente recurso especial, interposto por Wilson de Souza Pinto Filho, com base no artigo 105, inciso III, letras "a" e "c", da Constituição Federal, por violação aos artigos 535, 618 e 736 do Código de Processo Civil e aos artigos 13, parágrafo único, e 15 da Lei nº 7.357 de 1985 (f. 82/117). VOTO Exmo. Sr. Ministro ARI PARGENDLER (Relator): Wilson de Souza Pinto Filho opôs exceção de pré-executividade nos autos da ação de execução de cheque proposta por João Luiz Guimarães Ferreira contra si e Ana Mary Santos, alegando que "A solidariedade que decorre da abertura de conta conjunta bancária é ativa. Inexiste, porém, essa mesma solidariedade perante terceiros em face aos cheques emitidos e não resgatados por insuficiência de fundos ou contra-ordem ao banco sacado. O cheque é título formal. Logo, somente o correntista que o subscreveu responde pelo seu não pagamento" (f. 35), e, ainda, que "a sua assinatura não consta do título que fundamenta essa execução, não preenchendo, portanto, a mesma, os requisitos fundamentais em relação ao suplicante" (f. 31). O MM. Juiz de Direito, dizendo que "a defesa do devedor somente se admite através dos meios próprios" (f. 22), não acolheu a exceção de pré-executividade. O Tribunal a quo manteve a decisão, nos seguintes termos: "A exceção de pré-executividade não tem nenhum fomento, quer nos fatos, quer na lei, quando a sede normal, para que a matéria seja deduzida, as pretendidas teses debatidas, assim como materializada a produção de provas, só possa se concentrar no âmbito dos embargos à exec ução. Não seria possível, data maxima venia, dentro da via angusta da exceção de que se fala, que fossem apresentados fatos, interpretadas as razões e realizadas as provas exigíveis, porquanto a lei não autoriza tal raciocínio e prática. Conquanto a exceção de pré-executividade mereça o maior respeito, no âmbito jurídico-processual, a grande verdade é que não se harmoniza com os casos em que só através de embargos à execução a matéria seja examinada" (f. 69). Opostos embargos de declaração, foram rejeitados, mas, ao contrário do que alegam as razões do recurso especial, sem qualque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2026-10-26T03:43:00.992Z</dcterms:created>
  <dcterms:modified xsi:type="dcterms:W3CDTF">2026-10-26T03:43:00.992Z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