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Julgado em: </w:t>
      </w:r>
      <w:r>
        <w:t xml:space="preserve">15/04/1986</w:t>
      </w:r>
    </w:p>
    <w:p/>
    <w:p>
      <w:r>
        <w:t xml:space="preserve">SISTEMA DIFERENTE ADOTADO PELOS CONDÔMINOS DURANTE MUITO TEMPO — CONSIDERAÇÃO PELA SENTENÇA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diz a Lei 4.591/64, (Art. 12, § 1º) que a cota do rateio corresponderá à fração ideal do terreno, salvo disposição em contrário, na convenção. - E esta estabeleceu que será atendido o «valor de cada propriedade» (Art. 4º, Parágrafo Único), critério do Decreto nº 5.481/28, lei da época, e que o proprietário do primeiro pavimento não pagará mensalmente as despesas de energia elétrica para os elevadores, pagando as bombas d'água (Art. 25). - A perícia concluiu que a área útil do apartamento questionado é igual a metade dos demais. - Contudo foi-lhe atribuída a mesma fração ideal de 1/19 avós de um terreno que se situa numa das Ruas do Arpoador, zona das mais nobres da Cidade, e que deve ser considerada para várias situações, inclusive para seu valor. - Dentre elas a alienação da coisa comum, sendo o proprietário compensado, quando da elaboração da Convenção - e isto resta evidente pela simples colocação da cláusula no texto, com a dispensa dos gastos de energia elétrica dos elevadores. - É situação que já existe há mais de meio século. - Por este largo lapso de tempo foi assim obedecida e desempenhada pelo agrupamento condominal. - Portanto, está evidentíssimo que o condômino, pacificamente, desprezou a regra da cláusula 5ª, fonte da controvérsia, passando, tacitamente, a aceitar o rateio pelo critério da igualdade das frações ideais. - Para a hipótese, abdicou ela da ressalva contida no § 1º do Art. 12 da Lei 4.591/64, não podendo invocá-la agora. - Para o provimento da pretensão de cobrança há, ainda, outra razão particular: &lt;uma vez tomada uma deliberação pela Assembléia, dentro de suas atribuições, e observada a maioria "ex-ratione materiae", como vista acima, ela obriga a t odos os co-proprietários do Edifício (Art. 24, § 1º), mesmo ausentes e aos que na reunião votaram contra, e somente se invalidará pela mesma forma e pelos mesmos motivos que geram a ineficácia dos negócios jurídicos em geral (Condomínios e Incorporações, de CAIO MÁRIO DA SILVA PEREIRA, 4ª Ed., Fls. 155, nº 92). - Não pode prosperar a sentença que se limitou a singela referência da cláusula convencional, sem considerações sobre o próprio sistema adotado, pelos condôminos. - Sobre tudo pela interpretação que, neste meio século, lhe foi dada pelo próprio agrupamento. - Acolhe-se o apelo para julgar-se procedente o pedido de cobrança e improcedentes as pretensões declaratórias, invertendo-se os ônus do sucumbimento na mesma proporção fixada na sentença. Julgado em 16-04-1986 Arquivo do Ementário Forense, TA/755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prosperar a sentença que se limitou a singela referência da cláusula convencional, sem considerações sobre o próprio sistema adotado pelos condôminos.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2026-06-17T15:22:57.188Z</dcterms:created>
  <dcterms:modified xsi:type="dcterms:W3CDTF">2026-06-17T15:22:57.188Z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