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Cível 346/85</w:t>
      </w:r>
    </w:p>
    <w:p/>
    <w:p>
      <w:r>
        <w:t xml:space="preserve">RESCISÃO CONTRATUAL — LIMINAR - REINTEGRAÇÃO DE POSSE - LUCRO CESSANTE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EXCELENTÍSSIMO SENHOR DOUTOR JUIZ DE DIREITO DA ........ VARA CÍVEL DA COMARCA DE .... ......, brasileiro, casado, maior, corretor de imóveis, portador da CI/RG nº ...... e CPF sob nº ......, residente e domiciliado na rua ......, em ....., por sua advogada, adiante assinada, vem com o devido respeito à presença de Vossa Excelência, em acatamento a seu r. despacho de fls. ...., apresentar EMENDA À INICIAL Aos autos nº ........., de Ação de Resolução / Rescisão Parcial de Contrato c/c Pedido Liminar de Reintegração de Posse + Perdas e Danos e Lucros Cessantes + Dano moral, em tramite neste MM. Juízo, movidas em face de ........., brasileiro, solteiro, maior, empresário, portador da CI/RG nº ...... e CPF/MF sob nº ......, residente e domiciliado na rua ......., em ......., em face de ....., brasileiro, maior, comerciante, portador da CI./RG nº ....... e CPF/MF sob nº ......, residente e domiciliado na rua ......., em ........, pelas razões fáticas e jurídicas a seguir expostos, para ao final requerer: 1. BREVE RELATO 1. O requerente, ingressou com Ação de Resolução / Rescisão Parcial de Contrato c/c Pedido Liminar de Reintegração de Posse + Perdas e Danos e Lucros Cessantes + Dano Moral, e cumulou, inadvertidamente, pedidos de ação cautelar com ação ordinária, sem que tivesse sequer postulado a conversão do rito para que se acolhesse o procedimento ordinário, consoante prescreve o art. 292, par. 2º., do Código de Processo Civil, que assim estabelece: "Art. 292. É permitida a cumulação, num único processo, contra o mesmo réu, de vários pedidos, ainda que entre eles não haja conexão. Par. 2º. Quando, para cada pedido, corresponder tipo diverso de procedimento, admitir-se-á a cumulação, se o autor empregar o procedimento ordinário." 2. Assim sendo, assiste razão ao Culto Magistrado, ao contido em seu r. despacho de fls. .... 3. No entanto, é de se asseverar que em casos de imóveis, é também usual a propositura de ação de resci são cumulada com reintegração, até porque a reintegração é conseqüência da própria declaração da rescisão contratual postulada, se concedida, ao final. 4. Ante o pedido de concessão de medida liminar, o autor EMENDA A INICIAL, a fim de que sejam desconsiderado os pedidos de concessão de liminar fundamentados nos requisitos da medida cautelar de reintegração de posse, para requerê-la com espeque nos fundamentos que norteiam a concessão de medida liminar de tutela antecipada, do art. 273, e respectivos incisos e parágrafos, do Código de Processo Civil. 5. E isso porque restam fartamente comprovados e demonstrados documentalmente, havendo verossimilhança nas alegações do autor, de que o compromisso de compra e venda feita por escritura pública de fls. ...., a ele estão vinculados os cheques descritos às fls. ...... de que os R$ .... (...), atribuindo-se o valor de R$ ..... (...) a cada um dos imóveis, tendo os requeridos pagos R$ .... (...), em boa e corrente moeda nacional, e os R$ .... (....) restante foram fracionados em ..... (....) parcelas iguais e fixas de R$ .... (....) cada parcela, representados pelos cheques nºs. .. do ...., agência ....., cujos .....(....) últimos cheques encontram-se apensos às fls. ....., de emissão do ..... requerido, devolvidos pelas alíneas "11" cheque sem fundo e alíneas "12" conta encerrada. 6. Os requeridos foram regularmente notificados, pessoalmente e via Cartório, como se infere às fls. .... e verso, estando esses constituídos em mora, desde então. 7. Assim, a verossimilhança das alegações do autor restam cabalmente demonstradas. Qual seja, de que os requeridos adquiriram .... (....) imóveis, pagaram .... (.....) e não pagaram pelo segundo imóvel. 8. Segundo o autor, o imóvel de matrícula nº ..... (lote ....), constante às fls. ..... e identificado no mapa às fls. ... , até o momento não foi feita nenhuma edificação, ao passo de que noutro imóvel já existe um esqueleto de barracão iniciado, razão porque estando fartamente demonstrado de que o autor é o legítimo proprietário de .... (.....) desses imóveis, preferencialmente o lote ....., ante ao fato de que os compromissários compradores / requeridos não pagaram o preço, resta mais do que comprovado e caracterizado o fumus boni iuris, a teor do que prescreve o art. 481, do Novo Código Civil Pátrio: "Art.. 481. Pelo contrato de compra e venda, um dos contratantes se obriga a transferir o domínio de certa coisa, e q outro, a pagar-lhe cento preço em direito." 9. Por sua vez, o periculum in mora deve-se ao fato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2026-09-10T22:29:26.227Z</dcterms:created>
  <dcterms:modified xsi:type="dcterms:W3CDTF">2026-09-10T22:29:26.227Z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