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346/85</w:t>
      </w:r>
    </w:p>
    <w:p/>
    <w:p>
      <w:r>
        <w:t xml:space="preserve">RESCISÃO CONTRATUAL — LIMINAR - REINTEGRAÇÃO DE POSSE - LUCRO CESSANTE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EXCELENTÍSSIMO SENHOR DOUTOR JUIZ DE DIREITO DA ........ VARA CÍVEL DA COMARCA DE .... ......, brasileiro, casado, maior, corretor de imóveis, portador da CI/RG nº ...... e CPF sob nº ......, residente e domiciliado na rua ......, em ....., por sua advogada, adiante assinada, vem com o devido respeito à presença de Vossa Excelência, em acatamento a seu r. despacho de fls. ...., apresentar EMENDA À INICIAL Aos autos nº ........., de Ação de Resolução / Rescisão Parcial de Contrato c/c Pedido Liminar de Reintegração de Posse + Perdas e Danos e Lucros Cessantes + Dano moral, em tramite neste MM. Juízo, movidas em face de ........., brasileiro, solteiro, maior, empresário, portador da CI/RG nº ...... e CPF/MF sob nº ......, residente e domiciliado na rua ......., em ......., em face de ....., brasileiro, maior, comerciante, portador da CI./RG nº ....... e CPF/MF sob nº ......, residente e domiciliado na rua ......., em ........, pelas razões fáticas e jurídicas a seguir expostos, para ao final requerer: 1. BREVE RELATO 1. O requerente, ingressou com Ação de Resolução / Rescisão Parcial de Contrato c/c Pedido Liminar de Reintegração de Posse + Perdas e Danos e Lucros Cessantes + Dano Moral, e cumulou, inadvertidamente, pedidos de ação cautelar com ação ordinária, sem que tivesse sequer postulado a conversão do rito para que se acolhesse o procedimento ordinário, consoante prescreve o art. 292, par. 2º., do Código de Processo Civil, que assim estabelece: "Art. 292. É permitida a cumulação, num único processo, contra o mesmo réu, de vários pedidos, ainda que entre eles não haja conexão. Par. 2º. Quando, para cada pedido, corresponder tipo diverso de procedimento, admitir-se-á a cumulação, se o autor empregar o procedimento ordinário." 2. Assim sendo, assiste razão ao Culto Magistrado, ao contido em seu r. despacho de fls. .... 3. No entanto, é de se asseverar que em casos de imóveis, é também usual a propositura de ação de resci são cumulada com reintegração, até porque a reintegração é conseqüência da própria declaração da rescisão contratual postulada, se concedida, ao final. 4. Ante o pedido de concessão de medida liminar, o autor EMENDA A INICIAL, a fim de que sejam desconsiderado os pedidos de concessão de liminar fundamentados nos requisitos da medida cautelar de reintegração de posse, para requerê-la com espeque nos fundamentos que norteiam a concessão de medida liminar de tutela antecipada, do art. 273, e respectivos incisos e parágrafos, do Código de Processo Civil. 5. E isso porque restam fartamente comprovados e demonstrados documentalmente, havendo verossimilhança nas alegações do autor, de que o compromisso de compra e venda feita por escritura pública de fls. ...., a ele estão vinculados os cheques descritos às fls. ...... de que os R$ .... (...), atribuindo-se o valor de R$ ..... (...) a cada um dos imóveis, tendo os requeridos pagos R$ .... (...), em boa e corrente moeda nacional, e os R$ .... (....) restante foram fracionados em ..... (....) parcelas iguais e fixas de R$ .... (....) cada parcela, representados pelos cheques nºs. .. do ...., agência ....., cujos .....(....) últimos cheques encontram-se apensos às fls. ....., de emissão do ..... requerido, devolvidos pelas alíneas "11" cheque sem fundo e alíneas "12" conta encerrada. 6. Os requeridos foram regularmente notificados, pessoalmente e via Cartório, como se infere às fls. .... e verso, estando esses constituídos em mora, desde então. 7. Assim, a verossimilhança das alegações do autor restam cabalmente demonstradas. Qual seja, de que os requeridos adquiriram .... (....) imóveis, pagaram .... (.....) e não pagaram pelo segundo imóvel. 8. Segundo o autor, o imóvel de matrícula nº ..... (lote ....), constante às fls. ..... e identificado no mapa às fls. ... , até o momento não foi feita nenhuma edificação, ao passo de que noutro imóvel já existe um esqueleto de barracão iniciado, razão porque estando fartamente demonstrado de que o autor é o legítimo proprietário de .... (.....) desses imóveis, preferencialmente o lote ....., ante ao fato de que os compromissários compradores / requeridos não pagaram o preço, resta mais do que comprovado e caracterizado o fumus boni iuris, a teor do que prescreve o art. 481, do Novo Código Civil Pátrio: "Art.. 481. Pelo contrato de compra e venda, um dos contratantes se obriga a transferir o domínio de certa coisa, e q outro, a pagar-lhe cento preço em direito." 9. Por sua vez, o periculum in mora deve-se ao fato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2026-10-26T02:45:11.623Z</dcterms:created>
  <dcterms:modified xsi:type="dcterms:W3CDTF">2026-10-26T02:45:11.623Z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