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Recurso: </w:t>
      </w:r>
      <w:r>
        <w:t xml:space="preserve">Apelação 6.409</w:t>
      </w:r>
    </w:p>
    <w:p>
      <w:r>
        <w:rPr>
          <w:b/>
          <w:bCs/>
        </w:rPr>
        <w:t xml:space="preserve">Relator: </w:t>
      </w:r>
      <w:r>
        <w:t xml:space="preserve">RAUL QUENTAL</w:t>
      </w:r>
    </w:p>
    <w:p>
      <w:r>
        <w:rPr>
          <w:b/>
          <w:bCs/>
        </w:rPr>
        <w:t xml:space="preserve">Julgado em: </w:t>
      </w:r>
      <w:r>
        <w:t xml:space="preserve">02/10/1984</w:t>
      </w:r>
    </w:p>
    <w:p/>
    <w:p>
      <w:r>
        <w:t xml:space="preserve">RESPONSABILIDADE DO ADQUIRENTE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dispositivo passou, a partir de 27.03.84, a ter a seguinte redação, inaplicável a espécie, reconheço, porém mais severa: "A alienação ou transferência de direitos de que trata este artigo dependerá de prova de quitação das obrigações do alienante para o respectivo condomínio". - Assim não fazendo a Lei distinção na forma de aquisição, ao intérprete não compete distinguir: "ubi lex non distinguit nec interpres distinguere potest". - Neste mesmo sentido é o acórdão proferido pela 3ª Câmara deste E. Tribunal na Apel. Cível 6.409, relator o atual Desembargador GERALDO GUERREIRO, "in" "Revista de Jurisprudência - Arquivos do Tribunal de Alçada do Rio de Janeiro 19/203 e verso." Julgado em 03-10-1984 Revista dos Tribunais. Outubro, 1985. Vol. 600 - Pág. 206 NO MESMO SENTIDO: Apelação nº 6.409, Tr. Alçada R. de Janeiro - 3ª C., Relator: RAUL QUENTAL, ac. de 06.04.78, "in" "EMFOR", Nº 372.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redação vigente do parágrafo único do art. 4º da Lei 4.591 de 1964, à época da propositura da ação, "o adquirente de uma unidade responde pelos débitos do alienante em relação ao condomínio, inclusive multa".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2026-10-26T02:34:52.376Z</dcterms:created>
  <dcterms:modified xsi:type="dcterms:W3CDTF">2026-10-26T02:34:52.376Z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