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Recurso: </w:t>
      </w:r>
      <w:r>
        <w:t xml:space="preserve">Apelação 6.409</w:t>
      </w:r>
    </w:p>
    <w:p>
      <w:r>
        <w:rPr>
          <w:b/>
          <w:bCs/>
        </w:rPr>
        <w:t xml:space="preserve">Relator: </w:t>
      </w:r>
      <w:r>
        <w:t xml:space="preserve">RAUL QUENTAL</w:t>
      </w:r>
    </w:p>
    <w:p>
      <w:r>
        <w:rPr>
          <w:b/>
          <w:bCs/>
        </w:rPr>
        <w:t xml:space="preserve">Julgado em: </w:t>
      </w:r>
      <w:r>
        <w:t xml:space="preserve">02/10/1984</w:t>
      </w:r>
    </w:p>
    <w:p/>
    <w:p>
      <w:r>
        <w:t xml:space="preserve">RESPONSABILIDADE DO ADQUIRENTE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dispositivo passou, a partir de 27.03.84, a ter a seguinte redação, inaplicável a espécie, reconheço, porém mais severa: "A alienação ou transferência de direitos de que trata este artigo dependerá de prova de quitação das obrigações do alienante para o respectivo condomínio". - Assim não fazendo a Lei distinção na forma de aquisição, ao intérprete não compete distinguir: "ubi lex non distinguit nec interpres distinguere potest". - Neste mesmo sentido é o acórdão proferido pela 3ª Câmara deste E. Tribunal na Apel. Cível 6.409, relator o atual Desembargador GERALDO GUERREIRO, "in" "Revista de Jurisprudência - Arquivos do Tribunal de Alçada do Rio de Janeiro 19/203 e verso." Julgado em 03-10-1984 Revista dos Tribunais. Outubro, 1985. Vol. 600 - Pág. 206 NO MESMO SENTIDO: Apelação nº 6.409, Tr. Alçada R. de Janeiro - 3ª C., Relator: RAUL QUENTAL, ac. de 06.04.78, "in" "EMFOR", Nº 372.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redação vigente do parágrafo único do art. 4º da Lei 4.591 de 1964, à época da propositura da ação, "o adquirente de uma unidade responde pelos débitos do alienante em relação ao condomínio, inclusive multa".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2026-09-10T23:19:45.504Z</dcterms:created>
  <dcterms:modified xsi:type="dcterms:W3CDTF">2026-09-10T23:19:45.504Z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