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AÇÃO RESULTANTE DE DOLO OU CULPA</w:t>
      </w:r>
    </w:p>
    <w:p/>
    <w:p>
      <w:r>
        <w:rPr>
          <w:b/>
          <w:bCs/>
        </w:rPr>
        <w:t xml:space="preserve">Recurso: </w:t>
      </w:r>
      <w:r>
        <w:t xml:space="preserve">RE 73.661</w:t>
      </w:r>
    </w:p>
    <w:p/>
    <w:p>
      <w:r>
        <w:t xml:space="preserve">QUANDO SE CONSUMA POR CULPA DO AUTOR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jurisprudência do Supremo entende que, seu retardamento do despacho de citação resulta de omissão dos autores, ocorre a decadência (RE 73.661,ARs.831e 974) . O próprio acórdão citado pelos agravantes acentua que não se exaure o prazo de decadência "enquanto há retardamento do despacho de citação ou de sua execução por fato ou omissão não imputável ao interessado ". - No caso em exame, a inocorrência da medida citatória é desenganadamente imputável aos autores. Propuseram a ação no último dia do prazo, protestando pela juntada de documentos essenciais a tal propositura, e permaneceram inertes por mais de um ano. Nenhum prejuízo injusto dessarte, lhes foi causado pelo despacho que declarou a decadência . - Nego provimento ao agravo regimental . Ac. de 16-04-1986 Revista Trimestral de Jurisprudência, Vol. 121 (Junho/87), Pág. 32. EMFOR 478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Consuma-se a decadência se, por culpa do autor, resulta impossível a lavratura oportuna do despacho ordinário da citação . Tal é o que sucede quando, aforada a rescisória no derradeiro dia do biênio . Protesta o autor pela apresentação ulterior do instrumento de mandato e do endereço do réu , mantendo-se inerte nos dias subsequentes 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Revista Trimestral de Jurisprudência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2026-07-27T23:30:53.576Z</dcterms:created>
  <dcterms:modified xsi:type="dcterms:W3CDTF">2026-07-27T23:30:53.576Z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