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CLÁUSULA DE NÃO INDENIZAR</w:t>
      </w:r>
    </w:p>
    <w:p>
      <w:r>
        <w:rPr>
          <w:i/>
          <w:iCs/>
          <w:color w:val="666666"/>
        </w:rPr>
        <w:t xml:space="preserve">CONVENÇÃO DE CONDOMÍNIO</w:t>
      </w:r>
    </w:p>
    <w:p/>
    <w:p/>
    <w:p>
      <w:r>
        <w:t xml:space="preserve">EMPASTILHAMENTO DE ÁREA EXTERNA — SE ENTRE ESTAS SE INCLUI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decisório monocrático deu à demanda a solução que se impunha, coerente com a prova dos autos, a luz do gizamento legal medular. - Desta forma, não impugnado o quantum ofertado, impõe-se o improvimento do apelo, haja vista que o empastilhamento da área externa do edifício, nada mais é do que obra relativa a sua aparência de responsabilidade do locador. Ac. de 02-03-1989 Arquivo do EMFOR - TA/2.201 EMFOR 520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empastilhamento da área externa de edifício, nada mais é do que obra relativa a sua aparência, de obrigação do locador, que, na hipótese, não pode ser repassada ao locatário.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2026-09-10T22:07:53.541Z</dcterms:created>
  <dcterms:modified xsi:type="dcterms:W3CDTF">2026-09-10T22:07:53.541Z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