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CLÁUSULA DE NÃO INDENIZAR</w:t>
      </w:r>
    </w:p>
    <w:p>
      <w:r>
        <w:rPr>
          <w:i/>
          <w:iCs/>
          <w:color w:val="666666"/>
        </w:rPr>
        <w:t xml:space="preserve">CONVENÇÃO DE CONDOMÍNIO</w:t>
      </w:r>
    </w:p>
    <w:p/>
    <w:p/>
    <w:p>
      <w:r>
        <w:t xml:space="preserve">EMPASTILHAMENTO DE ÁREA EXTERNA — SE ENTRE ESTAS SE INCLUI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decisório monocrático deu à demanda a solução que se impunha, coerente com a prova dos autos, a luz do gizamento legal medular. - Desta forma, não impugnado o quantum ofertado, impõe-se o improvimento do apelo, haja vista que o empastilhamento da área externa do edifício, nada mais é do que obra relativa a sua aparência de responsabilidade do locador. Ac. de 02-03-1989 Arquivo do EMFOR - TA/2.201 EMFOR 520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empastilhamento da área externa de edifício, nada mais é do que obra relativa a sua aparência, de obrigação do locador, que, na hipótese, não pode ser repassada ao locatário.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2026-06-17T13:59:04.720Z</dcterms:created>
  <dcterms:modified xsi:type="dcterms:W3CDTF">2026-06-17T13:59:04.720Z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