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127.619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William Patterson</w:t>
      </w:r>
    </w:p>
    <w:p/>
    <w:p>
      <w:r>
        <w:t xml:space="preserve">REPARAÇÃO DE DANO — TENOSSINOVITE - LESÃO POR ESFORÇO REPETITIVO - COMPETÊNCIA - JUSTIÇA DO TRABALHO - JUSTIÇA COMUM - DOENÇA OCUPACIONAL - NEXO DE CAUSALIDADE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......VARA CÍVEL DA COMARCA DE .... Autos nº..... ...., devidamente qualificada nos autos supra, por seu advogado que ao final assina, vem, respeitosamente, à presença de Vossa Excelência, apresentar sua IMPUGNAÇÃO À CONTESTAÇÃO Nos autos em que litiga contra o ......, pelos fundamentos de fato e direito a seguir expostos. 1 - SÍNTESE DA CONTESTAÇÃO Alega a requerida, sinteticamente, em sua contestação: Preliminarmente, requer a extinção do processo sem julgamento do mérito, tendo em vista: a) A incompetência absoluta das Varas Cíveis para conhecerem causas que versem acerca de dissídios individuais entre trabalhadores e empregadores decorrentes de relações de trabalho, sendo que os autos devem ser objeto de apreciação pela Justiça do Trabalho, ou, sucessivamente, pela Vara de Acidentes de Trabalho; b) A ausência de documentos destinados a provar as alegações da parte autora, com base no artigo 267, IV, do CPC; Posteriormente, passa à análise do mérito, requerendo a improcedência dos pedidos formulados pela requerente na inicial, nos seguintes termos: a) Inexistência de nexo e causalidade entre as lesões sofridas pela requerente e o ambiente de trabalho fornecido pelo requerido; b) Inexistência de horas excedentes; c) Alega, ainda, a licitude da conduta da requerida; Por fim, impugna os pedidos formulados pela requerente, aduzindo: a) Que a requerente não demonstrou sua convalescença, tampouco o período em que esta ocorreu para fins de fixação dos lucros cessantes, e que não esta configurada responsabilidade de indenizar, visto que a requerente já reduziu ao estado de cura; b) Que não há nexo de causalidade entre as condutas da instituição requerida e a lesão por ela ocasionada capaz de caracterizar a reparação por danos morais, e que tais danos não foram demonstrados; c) Que não há elementos nos autos que justifiquem o pagamento de uma pensão mensal; d) Por fim, alude à inaplicabilidade da formação de um capital garantidor, visto que a requerida não demonstrou invalidez permanente para assegurar seu direito a pensão alimentícia e que o grande porte da instituição requerida não justifica tal pedido; Entretanto, as assertivas veiculadas pela instituição requerida na contestação não merecem guarida, eis que desamparadas de qualquer embasamento de fato e de direito. É o que passa a analisar. 2 - DA COMPETÊNCIA Preliminarmente, a instituição requerida invoca a extinção do processo sem julgamento do mérito, tendo em vista a incompetência absoluta das Varas Cíveis para conhecerem causas que versem acerca de dissídios individuais entre trabalhadores e empregadores decorrentes de relação de trabalho. Tais ações, na ótica da requerida, devem ser objeto de apreciação da Justiça do Trabalho. Sucessivamente, a requerida sustenta que, na hipótese de improcedência do pedido de remessa dos autos à Justiça de Trabalho, sejam os mesmos remetidos à Vara de Acidentes do Trabalho. Entretanto, a presente alegação de incompetência material não merece guarida, pois a competência para a apreciação das matérias relativas a reparação de danos por acidentes de trabalho é das Varas Cíveis da Justiça Comum Estadual, conforme enunciam as súmulas 15 do STJ, 235 do STF e 501 do STF, a seguir transcritas: "15 - Compete à Justiça Estadual processar e julgar os litígios decorrentes de acidentes do trabalho. 235 - É competente para a ação de acidente do trabalho a Justiça cível comum, inclusive em Segunda instância ainda que seja parte autarquia seguradora. 501 - Compete à Justiça ordinária estadual o processo e o julgamento, em ambas as instâncias, das causas de acidentes do trabalho, ainda que promovidas contra a União, suas autarquias, empresas públicas ou sociedades de economia mista." Dessa forma, muito embora a Justiça do Trabalho tenha competência para julgar ações que versem o dano moral decorrente das relaç ões de trabalho, a presente ação trata de reparação de danos por ato ilícito e, assim, deve ser submetida ao julgamento por umas Varas Cíveis da Justiça Estadual. Ademais, não bastasse o entendimento do STF e do STJ, a jurisprudência, com base no Código Cível de 1916, é unânime ao tratar da competência neste casos, senão vejamos: "404483 - COMPETÊNCIA - AÇÃO REVISIONAL DE BENEFÍCIO PREVIDENCIÁRIO RESULTANTE DE ACIDENTE DE TRABALHO - INSUBORDINAÇÃO À DEMANDA ACIDENTÁRIA - A ação de acidente do trabalho é processada e julgada pela Justiça Comum Estadual (art. 109, I, da CF e Súmula 15/STJ). A 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2026-06-17T14:13:56.209Z</dcterms:created>
  <dcterms:modified xsi:type="dcterms:W3CDTF">2026-06-17T14:13:56.209Z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