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127.619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William Patterson</w:t>
      </w:r>
    </w:p>
    <w:p/>
    <w:p>
      <w:r>
        <w:t xml:space="preserve">REPARAÇÃO DE DANO — TENOSSINOVITE - LESÃO POR ESFORÇO REPETITIVO - COMPETÊNCIA - JUSTIÇA DO TRABALHO - JUSTIÇA COMUM - DOENÇA OCUPACIONAL - NEXO DE CAUSALIDADE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......VARA CÍVEL DA COMARCA DE .... Autos nº..... ...., devidamente qualificada nos autos supra, por seu advogado que ao final assina, vem, respeitosamente, à presença de Vossa Excelência, apresentar sua IMPUGNAÇÃO À CONTESTAÇÃO Nos autos em que litiga contra o ......, pelos fundamentos de fato e direito a seguir expostos. 1 - SÍNTESE DA CONTESTAÇÃO Alega a requerida, sinteticamente, em sua contestação: Preliminarmente, requer a extinção do processo sem julgamento do mérito, tendo em vista: a) A incompetência absoluta das Varas Cíveis para conhecerem causas que versem acerca de dissídios individuais entre trabalhadores e empregadores decorrentes de relações de trabalho, sendo que os autos devem ser objeto de apreciação pela Justiça do Trabalho, ou, sucessivamente, pela Vara de Acidentes de Trabalho; b) A ausência de documentos destinados a provar as alegações da parte autora, com base no artigo 267, IV, do CPC; Posteriormente, passa à análise do mérito, requerendo a improcedência dos pedidos formulados pela requerente na inicial, nos seguintes termos: a) Inexistência de nexo e causalidade entre as lesões sofridas pela requerente e o ambiente de trabalho fornecido pelo requerido; b) Inexistência de horas excedentes; c) Alega, ainda, a licitude da conduta da requerida; Por fim, impugna os pedidos formulados pela requerente, aduzindo: a) Que a requerente não demonstrou sua convalescença, tampouco o período em que esta ocorreu para fins de fixação dos lucros cessantes, e que não esta configurada responsabilidade de indenizar, visto que a requerente já reduziu ao estado de cura; b) Que não há nexo de causalidade entre as condutas da instituição requerida e a lesão por ela ocasionada capaz de caracterizar a reparação por danos morais, e que tais danos não foram demonstrados; c) Que não há elementos nos autos que justifiquem o pagamento de uma pensão mensal; d) Por fim, alude à inaplicabilidade da formação de um capital garantidor, visto que a requerida não demonstrou invalidez permanente para assegurar seu direito a pensão alimentícia e que o grande porte da instituição requerida não justifica tal pedido; Entretanto, as assertivas veiculadas pela instituição requerida na contestação não merecem guarida, eis que desamparadas de qualquer embasamento de fato e de direito. É o que passa a analisar. 2 - DA COMPETÊNCIA Preliminarmente, a instituição requerida invoca a extinção do processo sem julgamento do mérito, tendo em vista a incompetência absoluta das Varas Cíveis para conhecerem causas que versem acerca de dissídios individuais entre trabalhadores e empregadores decorrentes de relação de trabalho. Tais ações, na ótica da requerida, devem ser objeto de apreciação da Justiça do Trabalho. Sucessivamente, a requerida sustenta que, na hipótese de improcedência do pedido de remessa dos autos à Justiça de Trabalho, sejam os mesmos remetidos à Vara de Acidentes do Trabalho. Entretanto, a presente alegação de incompetência material não merece guarida, pois a competência para a apreciação das matérias relativas a reparação de danos por acidentes de trabalho é das Varas Cíveis da Justiça Comum Estadual, conforme enunciam as súmulas 15 do STJ, 235 do STF e 501 do STF, a seguir transcritas: "15 - Compete à Justiça Estadual processar e julgar os litígios decorrentes de acidentes do trabalho. 235 - É competente para a ação de acidente do trabalho a Justiça cível comum, inclusive em Segunda instância ainda que seja parte autarquia seguradora. 501 - Compete à Justiça ordinária estadual o processo e o julgamento, em ambas as instâncias, das causas de acidentes do trabalho, ainda que promovidas contra a União, suas autarquias, empresas públicas ou sociedades de economia mista." Dessa forma, muito embora a Justiça do Trabalho tenha competência para julgar ações que versem o dano moral decorrente das relaç ões de trabalho, a presente ação trata de reparação de danos por ato ilícito e, assim, deve ser submetida ao julgamento por umas Varas Cíveis da Justiça Estadual. Ademais, não bastasse o entendimento do STF e do STJ, a jurisprudência, com base no Código Cível de 1916, é unânime ao tratar da competência neste casos, senão vejamos: "404483 - COMPETÊNCIA - AÇÃO REVISIONAL DE BENEFÍCIO PREVIDENCIÁRIO RESULTANTE DE ACIDENTE DE TRABALHO - INSUBORDINAÇÃO À DEMANDA ACIDENTÁRIA - A ação de acidente do trabalho é processada e julgada pela Justiça Comum Estadual (art. 109, I, da CF e Súmula 15/STJ). A 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2026-10-26T02:22:37.477Z</dcterms:created>
  <dcterms:modified xsi:type="dcterms:W3CDTF">2026-10-26T02:22:37.477Z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