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CONTRATO DE FINANCIAMENTO</w:t>
      </w:r>
    </w:p>
    <w:p>
      <w:r>
        <w:rPr>
          <w:i/>
          <w:iCs/>
          <w:color w:val="666666"/>
        </w:rPr>
        <w:t xml:space="preserve">CÓDIGO DE DEFESA DO CONSUMIDOR</w:t>
      </w:r>
    </w:p>
    <w:p/>
    <w:p>
      <w:r>
        <w:rPr>
          <w:b/>
          <w:bCs/>
        </w:rPr>
        <w:t xml:space="preserve">Recurso: </w:t>
      </w:r>
      <w:r>
        <w:t xml:space="preserve">RE 127.619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William Patterson</w:t>
      </w:r>
    </w:p>
    <w:p/>
    <w:p>
      <w:r>
        <w:t xml:space="preserve">REPARAÇÃO DE DANO — TENOSSINOVITE - LESÃO POR ESFORÇO REPETITIVO - COMPETÊNCIA - JUSTIÇA DO TRABALHO - JUSTIÇA COMUM - DOENÇA OCUPACIONAL - NEXO DE CAUSALIDADE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SENHOR DOUTOR JUIZ DE DIREITO DA ......VARA CÍVEL DA COMARCA DE .... Autos nº..... ...., devidamente qualificada nos autos supra, por seu advogado que ao final assina, vem, respeitosamente, à presença de Vossa Excelência, apresentar sua IMPUGNAÇÃO À CONTESTAÇÃO Nos autos em que litiga contra o ......, pelos fundamentos de fato e direito a seguir expostos. 1 - SÍNTESE DA CONTESTAÇÃO Alega a requerida, sinteticamente, em sua contestação: Preliminarmente, requer a extinção do processo sem julgamento do mérito, tendo em vista: a) A incompetência absoluta das Varas Cíveis para conhecerem causas que versem acerca de dissídios individuais entre trabalhadores e empregadores decorrentes de relações de trabalho, sendo que os autos devem ser objeto de apreciação pela Justiça do Trabalho, ou, sucessivamente, pela Vara de Acidentes de Trabalho; b) A ausência de documentos destinados a provar as alegações da parte autora, com base no artigo 267, IV, do CPC; Posteriormente, passa à análise do mérito, requerendo a improcedência dos pedidos formulados pela requerente na inicial, nos seguintes termos: a) Inexistência de nexo e causalidade entre as lesões sofridas pela requerente e o ambiente de trabalho fornecido pelo requerido; b) Inexistência de horas excedentes; c) Alega, ainda, a licitude da conduta da requerida; Por fim, impugna os pedidos formulados pela requerente, aduzindo: a) Que a requerente não demonstrou sua convalescença, tampouco o período em que esta ocorreu para fins de fixação dos lucros cessantes, e que não esta configurada responsabilidade de indenizar, visto que a requerente já reduziu ao estado de cura; b) Que não há nexo de causalidade entre as condutas da instituição requerida e a lesão por ela ocasionada capaz de caracterizar a reparação por danos morais, e que tais danos não foram demonstrados; c) Que não há elementos nos autos que justifiquem o pagamento de uma pensão mensal; d) Por fim, alude à inaplicabilidade da formação de um capital garantidor, visto que a requerida não demonstrou invalidez permanente para assegurar seu direito a pensão alimentícia e que o grande porte da instituição requerida não justifica tal pedido; Entretanto, as assertivas veiculadas pela instituição requerida na contestação não merecem guarida, eis que desamparadas de qualquer embasamento de fato e de direito. É o que passa a analisar. 2 - DA COMPETÊNCIA Preliminarmente, a instituição requerida invoca a extinção do processo sem julgamento do mérito, tendo em vista a incompetência absoluta das Varas Cíveis para conhecerem causas que versem acerca de dissídios individuais entre trabalhadores e empregadores decorrentes de relação de trabalho. Tais ações, na ótica da requerida, devem ser objeto de apreciação da Justiça do Trabalho. Sucessivamente, a requerida sustenta que, na hipótese de improcedência do pedido de remessa dos autos à Justiça de Trabalho, sejam os mesmos remetidos à Vara de Acidentes do Trabalho. Entretanto, a presente alegação de incompetência material não merece guarida, pois a competência para a apreciação das matérias relativas a reparação de danos por acidentes de trabalho é das Varas Cíveis da Justiça Comum Estadual, conforme enunciam as súmulas 15 do STJ, 235 do STF e 501 do STF, a seguir transcritas: "15 - Compete à Justiça Estadual processar e julgar os litígios decorrentes de acidentes do trabalho. 235 - É competente para a ação de acidente do trabalho a Justiça cível comum, inclusive em Segunda instância ainda que seja parte autarquia seguradora. 501 - Compete à Justiça ordinária estadual o processo e o julgamento, em ambas as instâncias, das causas de acidentes do trabalho, ainda que promovidas contra a União, suas autarquias, empresas públicas ou sociedades de economia mista." Dessa forma, muito embora a Justiça do Trabalho tenha competência para julgar ações que versem o dano moral decorrente das relaç ões de trabalho, a presente ação trata de reparação de danos por ato ilícito e, assim, deve ser submetida ao julgamento por umas Varas Cíveis da Justiça Estadual. Ademais, não bastasse o entendimento do STF e do STJ, a jurisprudência, com base no Código Cível de 1916, é unânime ao tratar da competência neste casos, senão vejamos: "404483 - COMPETÊNCIA - AÇÃO REVISIONAL DE BENEFÍCIO PREVIDENCIÁRIO RESULTANTE DE ACIDENTE DE TRABALHO - INSUBORDINAÇÃO À DEMANDA ACIDENTÁRIA - A ação de acidente do trabalho é processada e julgada pela Justiça Comum Estadual (art. 109, I, da CF e Súmula 15/STJ). A aç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2026-09-11T00:27:18.057Z</dcterms:created>
  <dcterms:modified xsi:type="dcterms:W3CDTF">2026-09-11T00:27:18.057Z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