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Recurso: </w:t>
      </w:r>
      <w:r>
        <w:t xml:space="preserve">apelação 40.671</w:t>
      </w:r>
    </w:p>
    <w:p>
      <w:r>
        <w:rPr>
          <w:b/>
          <w:bCs/>
        </w:rPr>
        <w:t xml:space="preserve">Relator: </w:t>
      </w:r>
      <w:r>
        <w:t xml:space="preserve">NARCISO PINTO</w:t>
      </w:r>
    </w:p>
    <w:p/>
    <w:p>
      <w:r>
        <w:t xml:space="preserve">QUOTAS CONDOMINIAIS — APARTAMENTO PARTILHADO À MULHER - COBRANÇA CONTRA O MARIDO - QUANDO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Embora a transmissão da propriedade imobiliária, entre os cônjuges que se separam judicialmente, não dependa do registro imobiliário, sendo suficiente a sentença de homologação da separação, tal sentença, no que concerne aos bens partilhados, é ineficaz, em relação a terceiros, se não forem registrados, no Registro Geral de Imóveis, a sentença e o formal de partilha. - Assim decidiu, com muito acerto, a 2ª C. deste Tribunal, com invocação de lição de SERPA LOPES, em igual sentido (apelação nº 40.671, Rel. NARCISO PINTO, Ata 13/101. - Do mesmo teor é o ensinamento de VICENTE DE FARIA COELHO (O desquite na Jurisprudência... pág. 71/72). - Lícito não é, pois, ao apelante livrar-se da responsabilidade pelo pagamento das cotas condominiais em questão, escudado em sentença de separação e em partilha, que não foram levadas ao Registro Geral de Imóveis e, portanto, não são oponíveis a terceiros, como o Condomínio-apelado. Ac. de 25-03-1987 Arquivo do EMFOR, TA/914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pelo pagamento das cotas condominiais incidentes sobre apartamento partilhado à mulher o marido que dela se separa judicialmente, mas não promove o registro do respectivo formal de partilha no Registro Geral de Imóveis.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2026-10-26T04:50:20.332Z</dcterms:created>
  <dcterms:modified xsi:type="dcterms:W3CDTF">2026-10-26T04:50:20.332Z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