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apelação 40.671</w:t>
      </w:r>
    </w:p>
    <w:p>
      <w:r>
        <w:rPr>
          <w:b/>
          <w:bCs/>
        </w:rPr>
        <w:t xml:space="preserve">Relator: </w:t>
      </w:r>
      <w:r>
        <w:t xml:space="preserve">NARCISO PINTO</w:t>
      </w:r>
    </w:p>
    <w:p/>
    <w:p>
      <w:r>
        <w:t xml:space="preserve">QUOTAS CONDOMINIAIS — APARTAMENTO PARTILHADO À MULHER - COBRANÇA CONTRA O MARIDO - QUANDO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... Embora a transmissão da propriedade imobiliária, entre os cônjuges que se separam judicialmente, não dependa do registro imobiliário, sendo suficiente a sentença de homologação da separação, tal sentença, no que concerne aos bens partilhados, é ineficaz, em relação a terceiros, se não forem registrados, no Registro Geral de Imóveis, a sentença e o formal de partilha. - Assim decidiu, com muito acerto, a 2ª C. deste Tribunal, com invocação de lição de SERPA LOPES, em igual sentido (apelação nº 40.671, Rel. NARCISO PINTO, Ata 13/101. - Do mesmo teor é o ensinamento de VICENTE DE FARIA COELHO (O desquite na Jurisprudência... pág. 71/72). - Lícito não é, pois, ao apelante livrar-se da responsabilidade pelo pagamento das cotas condominiais em questão, escudado em sentença de separação e em partilha, que não foram levadas ao Registro Geral de Imóveis e, portanto, não são oponíveis a terceiros, como o Condomínio-apelado. Ac. de 25-03-1987 Arquivo do EMFOR, TA/914 EMFOR 482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Responde pelo pagamento das cotas condominiais incidentes sobre apartamento partilhado à mulher o marido que dela se separa judicialmente, mas não promove o registro do respectivo formal de partilha no Registro Geral de Imóveis.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2026-06-17T14:04:52.962Z</dcterms:created>
  <dcterms:modified xsi:type="dcterms:W3CDTF">2026-06-17T14:04:52.962Z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