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CONVENÇÃO DE CONDOMÍNIO</w:t>
      </w:r>
    </w:p>
    <w:p/>
    <w:p>
      <w:r>
        <w:rPr>
          <w:b/>
          <w:bCs/>
        </w:rPr>
        <w:t xml:space="preserve">Recurso: </w:t>
      </w:r>
      <w:r>
        <w:t xml:space="preserve">apelação 40.671</w:t>
      </w:r>
    </w:p>
    <w:p>
      <w:r>
        <w:rPr>
          <w:b/>
          <w:bCs/>
        </w:rPr>
        <w:t xml:space="preserve">Relator: </w:t>
      </w:r>
      <w:r>
        <w:t xml:space="preserve">NARCISO PINTO</w:t>
      </w:r>
    </w:p>
    <w:p/>
    <w:p>
      <w:r>
        <w:t xml:space="preserve">QUOTAS CONDOMINIAIS — APARTAMENTO PARTILHADO À MULHER - COBRANÇA CONTRA O MARIDO - QUANDO PROCEDE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... Embora a transmissão da propriedade imobiliária, entre os cônjuges que se separam judicialmente, não dependa do registro imobiliário, sendo suficiente a sentença de homologação da separação, tal sentença, no que concerne aos bens partilhados, é ineficaz, em relação a terceiros, se não forem registrados, no Registro Geral de Imóveis, a sentença e o formal de partilha. - Assim decidiu, com muito acerto, a 2ª C. deste Tribunal, com invocação de lição de SERPA LOPES, em igual sentido (apelação nº 40.671, Rel. NARCISO PINTO, Ata 13/101. - Do mesmo teor é o ensinamento de VICENTE DE FARIA COELHO (O desquite na Jurisprudência... pág. 71/72). - Lícito não é, pois, ao apelante livrar-se da responsabilidade pelo pagamento das cotas condominiais em questão, escudado em sentença de separação e em partilha, que não foram levadas ao Registro Geral de Imóveis e, portanto, não são oponíveis a terceiros, como o Condomínio-apelado. Ac. de 25-03-1987 Arquivo do EMFOR, TA/914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pelo pagamento das cotas condominiais incidentes sobre apartamento partilhado à mulher o marido que dela se separa judicialmente, mas não promove o registro do respectivo formal de partilha no Registro Geral de Imóveis.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2026-09-10T22:10:30.606Z</dcterms:created>
  <dcterms:modified xsi:type="dcterms:W3CDTF">2026-09-10T22:10:30.606Z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