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CONVENÇÃO DE CONDOMÍNIO</w:t>
      </w:r>
    </w:p>
    <w:p/>
    <w:p/>
    <w:p>
      <w:r>
        <w:t xml:space="preserve">PROIBIÇÃO DE PESSOAS ESTRANHAS — LIMITES DO PODER DO SÍNDICO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Trata-se da área de estacionamento ou parqueamento do condomínio. - Assim sendo, é área comum e pode ser legitimamente vedada a sua utilização por pessoas estranhas ainda que transitoriamente, quando visitam residentes do prédio. - Não há ilegalidade alguma na proibição, em si, uma vez que cabe ao síndico praticar os atos de defesa dos interesses comuns ( art. 22, § 1º, alínea "a", da Lei nº 4.591, de 16-12-64). - Todavia, não pode ele criar penalidade. - Cabe à assembléia fazê-lo. - Verifica-se, que o ato não está previsto, no elenco de infrações sujeitas a penalidades. - Consequentemente, provê-se o recurso para julgar procedente o pedido e declarar nulo o ato de imposição de multa, condenando o réu, apelado, nas custas e na verba honorária de 10% sobre o valor da causa. Ac. de 15-09-1987 Arquivo do EMFOR, TJ/ 1.641 EMFOR 478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Pode o síndico proibir estacionamento de veículos de pessoas estranhas ao condomínio, no parqueamento da edificação. Entretanto, não lhe é dado impor multa não prevista na convenção condominial e no regulamento interno.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2026-06-17T16:24:23.615Z</dcterms:created>
  <dcterms:modified xsi:type="dcterms:W3CDTF">2026-06-17T16:24:23.615Z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