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CLÁUSULA DE NÃO INDENIZAR</w:t>
      </w:r>
    </w:p>
    <w:p>
      <w:r>
        <w:rPr>
          <w:i/>
          <w:iCs/>
          <w:color w:val="666666"/>
        </w:rPr>
        <w:t xml:space="preserve">CONVENÇÃO DE CONDOMÍNIO</w:t>
      </w:r>
    </w:p>
    <w:p/>
    <w:p>
      <w:r>
        <w:rPr>
          <w:b/>
          <w:bCs/>
        </w:rPr>
        <w:t xml:space="preserve">Recurso: </w:t>
      </w:r>
      <w:r>
        <w:t xml:space="preserve">REsp 32.530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SÁLVIO DE FIGUEIREDO</w:t>
      </w:r>
    </w:p>
    <w:p/>
    <w:p>
      <w:r>
        <w:t xml:space="preserve">VEÍCULO GUARDADO NA GARAGEM — SE POR ELE RESPONDE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 presente caso assemelha-se ao que se acha descrito nos dois últimos precedentes desta Turma, pois que nele ficou reconhecido a existência de cláusula de não indenizar (ver o relatório, com transcrição do acórdão recorrido). Confirma-se ainda essa ementa: "Direito Civil. Responsabilidade subjetiva de condomínio. Furto de veículo em garagem. Culpa não comprovada. Recurso desacolhido. O condomínio só responde pelos prejuízos decorrentes de furto de veículo ocorrido na garagem do edifício se, estipulada por deliberação dos condôminos obrigação de guarda e vigilância em referido local, o síndico ou os prepostos pelo mesmo admitidos para tal fim tenham agido com culpa no cumprimento desse dever". (REsp 32.530, Rel. Min. SÁLVIO DE FIGUEIREDO, DJ de 31-5-93). - Portanto, em sendo lícito estabelecer-se que a indenização não é devida, e a convenção em causa assim estabeleceu, conforme o acórdão, e nem existindo prova da culpa, conforme também declarou o acórdão ("E esta prova inexiste no bojo dos autos", ...), o recurso especial não é viável. Ac. de 24-05-1994 Arquivo do EMFOR - STJ/973 EMFOR 548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Prevendo a convenção que o condomínio não é responsável pelos danos sofridos por veículos estacionados na garagem do prédio, não é admissível, em caso de furto, pleitear-se indenização, porque lícita a cláusula de não indenizar.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2026-06-17T17:50:49.078Z</dcterms:created>
  <dcterms:modified xsi:type="dcterms:W3CDTF">2026-06-17T17:50:49.078Z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